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2AD4F" w14:textId="78A34D9F" w:rsidR="007A2EFD" w:rsidRPr="00D963AE" w:rsidRDefault="008916B7" w:rsidP="007A2EFD">
      <w:pPr>
        <w:spacing w:after="0" w:line="276" w:lineRule="auto"/>
        <w:jc w:val="right"/>
        <w:rPr>
          <w:rFonts w:ascii="Times New Roman" w:hAnsi="Times New Roman" w:cs="Times New Roman"/>
          <w:bCs/>
        </w:rPr>
      </w:pPr>
      <w:r w:rsidRPr="00D963AE">
        <w:rPr>
          <w:rFonts w:ascii="Times New Roman" w:hAnsi="Times New Roman" w:cs="Times New Roman"/>
          <w:bCs/>
        </w:rPr>
        <w:t>Sotsiaal</w:t>
      </w:r>
      <w:r w:rsidR="000A7315" w:rsidRPr="00D963AE">
        <w:rPr>
          <w:rFonts w:ascii="Times New Roman" w:hAnsi="Times New Roman" w:cs="Times New Roman"/>
          <w:bCs/>
        </w:rPr>
        <w:t xml:space="preserve">ministri määruse </w:t>
      </w:r>
      <w:r w:rsidR="00D5093C" w:rsidRPr="00D963AE">
        <w:rPr>
          <w:rFonts w:ascii="Times New Roman" w:hAnsi="Times New Roman" w:cs="Times New Roman"/>
          <w:bCs/>
        </w:rPr>
        <w:t>„</w:t>
      </w:r>
      <w:r w:rsidR="001A6552" w:rsidRPr="001A6552">
        <w:rPr>
          <w:rFonts w:ascii="Times New Roman" w:hAnsi="Times New Roman" w:cs="Times New Roman"/>
          <w:bCs/>
        </w:rPr>
        <w:t>Mitteioniseeriva kiirguse ohutuse tagamise nõuded ja hindamise kord</w:t>
      </w:r>
      <w:r w:rsidR="00D5093C" w:rsidRPr="00D963AE">
        <w:rPr>
          <w:rFonts w:ascii="Times New Roman" w:hAnsi="Times New Roman" w:cs="Times New Roman"/>
          <w:bCs/>
        </w:rPr>
        <w:t xml:space="preserve">“ </w:t>
      </w:r>
      <w:r w:rsidR="007A2EFD" w:rsidRPr="00D963AE">
        <w:rPr>
          <w:rFonts w:ascii="Times New Roman" w:hAnsi="Times New Roman" w:cs="Times New Roman"/>
          <w:bCs/>
        </w:rPr>
        <w:t>seletuskirja juurde</w:t>
      </w:r>
    </w:p>
    <w:p w14:paraId="3FF71D21" w14:textId="6680C9F6" w:rsidR="001F2A3A" w:rsidRPr="00D963AE" w:rsidRDefault="001F2A3A" w:rsidP="007A2EFD">
      <w:pPr>
        <w:spacing w:after="0" w:line="276" w:lineRule="auto"/>
        <w:jc w:val="right"/>
        <w:rPr>
          <w:rFonts w:ascii="Times New Roman" w:hAnsi="Times New Roman" w:cs="Times New Roman"/>
          <w:bCs/>
        </w:rPr>
      </w:pPr>
      <w:r w:rsidRPr="00AA4BAF">
        <w:rPr>
          <w:rFonts w:ascii="Times New Roman" w:hAnsi="Times New Roman" w:cs="Times New Roman"/>
          <w:bCs/>
        </w:rPr>
        <w:t xml:space="preserve">Lisa </w:t>
      </w:r>
      <w:r w:rsidR="001A6552">
        <w:rPr>
          <w:rFonts w:ascii="Times New Roman" w:hAnsi="Times New Roman" w:cs="Times New Roman"/>
          <w:bCs/>
        </w:rPr>
        <w:t>2</w:t>
      </w:r>
    </w:p>
    <w:p w14:paraId="2B609DDF" w14:textId="6BF84B24" w:rsidR="005D0D30" w:rsidRPr="00D963AE" w:rsidRDefault="005D0D30" w:rsidP="001F2A3A">
      <w:pPr>
        <w:spacing w:after="0" w:line="276" w:lineRule="auto"/>
        <w:jc w:val="center"/>
        <w:rPr>
          <w:rFonts w:ascii="Times New Roman" w:hAnsi="Times New Roman" w:cs="Times New Roman"/>
          <w:b/>
          <w:bCs/>
        </w:rPr>
      </w:pPr>
      <w:r w:rsidRPr="00D963AE">
        <w:rPr>
          <w:rFonts w:ascii="Times New Roman" w:hAnsi="Times New Roman" w:cs="Times New Roman"/>
          <w:b/>
          <w:bCs/>
        </w:rPr>
        <w:t>Kooskõlastustabel</w:t>
      </w:r>
    </w:p>
    <w:p w14:paraId="61F68F77" w14:textId="1BAC70D3" w:rsidR="007A2EFD" w:rsidRPr="00D963AE" w:rsidRDefault="007A2EFD" w:rsidP="007A2EFD">
      <w:pPr>
        <w:spacing w:after="0" w:line="276" w:lineRule="auto"/>
        <w:jc w:val="right"/>
        <w:rPr>
          <w:rFonts w:ascii="Times New Roman" w:hAnsi="Times New Roman" w:cs="Times New Roman"/>
        </w:rPr>
      </w:pPr>
    </w:p>
    <w:tbl>
      <w:tblPr>
        <w:tblStyle w:val="Kontuurtabel"/>
        <w:tblW w:w="14329" w:type="dxa"/>
        <w:jc w:val="center"/>
        <w:tblLayout w:type="fixed"/>
        <w:tblLook w:val="04A0" w:firstRow="1" w:lastRow="0" w:firstColumn="1" w:lastColumn="0" w:noHBand="0" w:noVBand="1"/>
      </w:tblPr>
      <w:tblGrid>
        <w:gridCol w:w="1129"/>
        <w:gridCol w:w="7524"/>
        <w:gridCol w:w="5676"/>
      </w:tblGrid>
      <w:tr w:rsidR="00FF015D" w:rsidRPr="00D963AE" w14:paraId="50BE255A" w14:textId="77777777" w:rsidTr="14A94AAC">
        <w:trPr>
          <w:tblHeader/>
          <w:jc w:val="center"/>
        </w:trPr>
        <w:tc>
          <w:tcPr>
            <w:tcW w:w="1129" w:type="dxa"/>
            <w:shd w:val="clear" w:color="auto" w:fill="D9D9D9" w:themeFill="background1" w:themeFillShade="D9"/>
          </w:tcPr>
          <w:p w14:paraId="67DA68EF" w14:textId="77777777" w:rsidR="009F6CAE" w:rsidRPr="00D963AE" w:rsidRDefault="009F6CAE" w:rsidP="00FF015D">
            <w:pPr>
              <w:spacing w:line="276" w:lineRule="auto"/>
              <w:jc w:val="both"/>
              <w:rPr>
                <w:rFonts w:ascii="Times New Roman" w:hAnsi="Times New Roman" w:cs="Times New Roman"/>
              </w:rPr>
            </w:pPr>
          </w:p>
        </w:tc>
        <w:tc>
          <w:tcPr>
            <w:tcW w:w="7524" w:type="dxa"/>
            <w:shd w:val="clear" w:color="auto" w:fill="D9D9D9" w:themeFill="background1" w:themeFillShade="D9"/>
          </w:tcPr>
          <w:p w14:paraId="40F8985A" w14:textId="77777777" w:rsidR="009F6CAE" w:rsidRPr="00D963AE" w:rsidRDefault="009F6CAE" w:rsidP="00FF015D">
            <w:pPr>
              <w:spacing w:line="276" w:lineRule="auto"/>
              <w:jc w:val="both"/>
              <w:rPr>
                <w:rFonts w:ascii="Times New Roman" w:hAnsi="Times New Roman" w:cs="Times New Roman"/>
                <w:b/>
              </w:rPr>
            </w:pPr>
            <w:r w:rsidRPr="00D963AE">
              <w:rPr>
                <w:rFonts w:ascii="Times New Roman" w:hAnsi="Times New Roman" w:cs="Times New Roman"/>
                <w:b/>
              </w:rPr>
              <w:t>Märkuse sisu</w:t>
            </w:r>
          </w:p>
        </w:tc>
        <w:tc>
          <w:tcPr>
            <w:tcW w:w="5676" w:type="dxa"/>
            <w:shd w:val="clear" w:color="auto" w:fill="D9D9D9" w:themeFill="background1" w:themeFillShade="D9"/>
          </w:tcPr>
          <w:p w14:paraId="1BF99462" w14:textId="77777777" w:rsidR="009F6CAE" w:rsidRPr="00D963AE" w:rsidRDefault="009F6CAE" w:rsidP="00FF015D">
            <w:pPr>
              <w:spacing w:line="276" w:lineRule="auto"/>
              <w:jc w:val="both"/>
              <w:rPr>
                <w:rFonts w:ascii="Times New Roman" w:hAnsi="Times New Roman" w:cs="Times New Roman"/>
                <w:b/>
              </w:rPr>
            </w:pPr>
            <w:r w:rsidRPr="00D963AE">
              <w:rPr>
                <w:rFonts w:ascii="Times New Roman" w:hAnsi="Times New Roman" w:cs="Times New Roman"/>
                <w:b/>
              </w:rPr>
              <w:t>Märkuse kommentaar</w:t>
            </w:r>
          </w:p>
        </w:tc>
      </w:tr>
      <w:tr w:rsidR="00E418F1" w:rsidRPr="00D963AE" w14:paraId="5D4650C5" w14:textId="77777777" w:rsidTr="14A94AAC">
        <w:trPr>
          <w:jc w:val="center"/>
        </w:trPr>
        <w:tc>
          <w:tcPr>
            <w:tcW w:w="1129" w:type="dxa"/>
            <w:shd w:val="clear" w:color="auto" w:fill="auto"/>
          </w:tcPr>
          <w:p w14:paraId="1F8ED5C3" w14:textId="77777777" w:rsidR="00E418F1" w:rsidRPr="00D963AE" w:rsidRDefault="00E418F1" w:rsidP="007D5359">
            <w:pPr>
              <w:pStyle w:val="Loendilik"/>
              <w:spacing w:line="276" w:lineRule="auto"/>
              <w:jc w:val="both"/>
              <w:rPr>
                <w:rFonts w:ascii="Times New Roman" w:hAnsi="Times New Roman" w:cs="Times New Roman"/>
              </w:rPr>
            </w:pPr>
          </w:p>
        </w:tc>
        <w:tc>
          <w:tcPr>
            <w:tcW w:w="7524" w:type="dxa"/>
          </w:tcPr>
          <w:p w14:paraId="45AB5555" w14:textId="2825D6F2" w:rsidR="00E418F1" w:rsidRPr="00D963AE" w:rsidRDefault="00A265BC" w:rsidP="00E418F1">
            <w:pPr>
              <w:spacing w:line="276" w:lineRule="auto"/>
              <w:jc w:val="both"/>
              <w:rPr>
                <w:rFonts w:ascii="Times New Roman" w:hAnsi="Times New Roman" w:cs="Times New Roman"/>
                <w:b/>
                <w:bCs/>
              </w:rPr>
            </w:pPr>
            <w:r>
              <w:rPr>
                <w:rFonts w:ascii="Times New Roman" w:hAnsi="Times New Roman" w:cs="Times New Roman"/>
                <w:b/>
                <w:bCs/>
              </w:rPr>
              <w:t>Justiits- ja Digiministeerium</w:t>
            </w:r>
          </w:p>
        </w:tc>
        <w:tc>
          <w:tcPr>
            <w:tcW w:w="5676" w:type="dxa"/>
          </w:tcPr>
          <w:p w14:paraId="58F58042" w14:textId="102BC535" w:rsidR="00E418F1" w:rsidRPr="00D963AE" w:rsidRDefault="00E418F1" w:rsidP="00E418F1">
            <w:pPr>
              <w:spacing w:line="276" w:lineRule="auto"/>
              <w:jc w:val="both"/>
              <w:rPr>
                <w:rFonts w:ascii="Times New Roman" w:hAnsi="Times New Roman" w:cs="Times New Roman"/>
              </w:rPr>
            </w:pPr>
          </w:p>
        </w:tc>
      </w:tr>
      <w:tr w:rsidR="00E418F1" w:rsidRPr="00D963AE" w14:paraId="4EF568BE" w14:textId="77777777" w:rsidTr="14A94AAC">
        <w:trPr>
          <w:jc w:val="center"/>
        </w:trPr>
        <w:tc>
          <w:tcPr>
            <w:tcW w:w="1129" w:type="dxa"/>
            <w:shd w:val="clear" w:color="auto" w:fill="auto"/>
          </w:tcPr>
          <w:p w14:paraId="2ADB03A7" w14:textId="277864BA" w:rsidR="00E418F1" w:rsidRPr="00D963AE" w:rsidRDefault="005A7F83" w:rsidP="00A265BC">
            <w:pPr>
              <w:pStyle w:val="Loendilik"/>
              <w:spacing w:line="276" w:lineRule="auto"/>
              <w:jc w:val="both"/>
              <w:rPr>
                <w:rFonts w:ascii="Times New Roman" w:hAnsi="Times New Roman" w:cs="Times New Roman"/>
              </w:rPr>
            </w:pPr>
            <w:r>
              <w:rPr>
                <w:rFonts w:ascii="Times New Roman" w:hAnsi="Times New Roman" w:cs="Times New Roman"/>
              </w:rPr>
              <w:t>1.</w:t>
            </w:r>
          </w:p>
        </w:tc>
        <w:tc>
          <w:tcPr>
            <w:tcW w:w="7524" w:type="dxa"/>
          </w:tcPr>
          <w:p w14:paraId="227B6A2E" w14:textId="62676EAC" w:rsidR="00DD67BC" w:rsidRPr="00DD67BC" w:rsidRDefault="00DD67BC" w:rsidP="00DD67BC">
            <w:pPr>
              <w:spacing w:line="276" w:lineRule="auto"/>
              <w:jc w:val="both"/>
              <w:rPr>
                <w:rFonts w:ascii="Times New Roman" w:hAnsi="Times New Roman" w:cs="Times New Roman"/>
              </w:rPr>
            </w:pPr>
            <w:r w:rsidRPr="14A94AAC">
              <w:rPr>
                <w:rFonts w:ascii="Times New Roman" w:hAnsi="Times New Roman" w:cs="Times New Roman"/>
              </w:rPr>
              <w:t>Sooviksime eelnõu seletuskirja täiendamist halduskoormuse hinnanguga ja palume tuua määruse mõju analüüsis eraldi välja ka mõju halduskoormusele – st selgitada halduskoormuse muutusi, lisada ülevaade halduskoormuse vähenemisest ning selgitada põhjalikumalt võimalikku kasvu (sh sihtrühma suurus jm).</w:t>
            </w:r>
          </w:p>
          <w:p w14:paraId="73A5214D" w14:textId="77777777" w:rsidR="00DD67BC" w:rsidRPr="00DD67BC" w:rsidRDefault="00DD67BC" w:rsidP="00DD67BC">
            <w:pPr>
              <w:spacing w:line="276" w:lineRule="auto"/>
              <w:jc w:val="both"/>
              <w:rPr>
                <w:rFonts w:ascii="Times New Roman" w:hAnsi="Times New Roman" w:cs="Times New Roman"/>
              </w:rPr>
            </w:pPr>
            <w:r w:rsidRPr="00DD67BC">
              <w:rPr>
                <w:rFonts w:ascii="Times New Roman" w:hAnsi="Times New Roman" w:cs="Times New Roman"/>
              </w:rPr>
              <w:t xml:space="preserve">SK-s on öeldud: „Muudatus võib kaasa tuua mõõdukaid lisakulusid teenusepakkujatele, kes peavad uute tugijaamade (alates 1. jaanuarist 2026) puhul vajadusel planeerima ka sobiva juurdepääsupiirangu ja märgistuse (nt turvaaed, lukustus, silt).“.  Seega on oodata eelnõu kehtestamisel halduskoormuse kasvu. Vt palun </w:t>
            </w:r>
            <w:hyperlink r:id="rId11" w:history="1">
              <w:r w:rsidRPr="00DD67BC">
                <w:rPr>
                  <w:rStyle w:val="Hperlink"/>
                  <w:rFonts w:ascii="Times New Roman" w:hAnsi="Times New Roman" w:cs="Times New Roman"/>
                </w:rPr>
                <w:t>HÕNTE</w:t>
              </w:r>
            </w:hyperlink>
            <w:r w:rsidRPr="00DD67BC">
              <w:rPr>
                <w:rFonts w:ascii="Times New Roman" w:hAnsi="Times New Roman" w:cs="Times New Roman"/>
              </w:rPr>
              <w:t xml:space="preserve"> § 4</w:t>
            </w:r>
            <w:r w:rsidRPr="00DD67BC">
              <w:rPr>
                <w:rFonts w:ascii="Times New Roman" w:hAnsi="Times New Roman" w:cs="Times New Roman"/>
                <w:vertAlign w:val="superscript"/>
              </w:rPr>
              <w:t>1</w:t>
            </w:r>
            <w:r w:rsidRPr="00DD67BC">
              <w:rPr>
                <w:rFonts w:ascii="Times New Roman" w:hAnsi="Times New Roman" w:cs="Times New Roman"/>
              </w:rPr>
              <w:t xml:space="preserve"> ja 41 lg 2 p 3. </w:t>
            </w:r>
          </w:p>
          <w:p w14:paraId="2F27F855" w14:textId="0DAA9437" w:rsidR="000742D3" w:rsidRPr="00D963AE" w:rsidRDefault="000742D3" w:rsidP="008E0EB2">
            <w:pPr>
              <w:spacing w:line="276" w:lineRule="auto"/>
              <w:jc w:val="both"/>
              <w:rPr>
                <w:rFonts w:ascii="Times New Roman" w:hAnsi="Times New Roman" w:cs="Times New Roman"/>
              </w:rPr>
            </w:pPr>
          </w:p>
        </w:tc>
        <w:tc>
          <w:tcPr>
            <w:tcW w:w="5676" w:type="dxa"/>
          </w:tcPr>
          <w:p w14:paraId="61E9E94C" w14:textId="4D7B56BA" w:rsidR="002F5B53" w:rsidRDefault="00D23B69" w:rsidP="00574273">
            <w:pPr>
              <w:spacing w:line="276" w:lineRule="auto"/>
              <w:jc w:val="both"/>
              <w:rPr>
                <w:rFonts w:ascii="Times New Roman" w:hAnsi="Times New Roman" w:cs="Times New Roman"/>
              </w:rPr>
            </w:pPr>
            <w:r w:rsidRPr="00D23B69">
              <w:rPr>
                <w:rFonts w:ascii="Times New Roman" w:hAnsi="Times New Roman" w:cs="Times New Roman"/>
                <w:b/>
                <w:bCs/>
              </w:rPr>
              <w:t>Arvestatud.</w:t>
            </w:r>
            <w:r>
              <w:rPr>
                <w:rFonts w:ascii="Times New Roman" w:hAnsi="Times New Roman" w:cs="Times New Roman"/>
              </w:rPr>
              <w:t xml:space="preserve"> Seletuskir</w:t>
            </w:r>
            <w:r w:rsidR="003443E2">
              <w:rPr>
                <w:rFonts w:ascii="Times New Roman" w:hAnsi="Times New Roman" w:cs="Times New Roman"/>
              </w:rPr>
              <w:t>i</w:t>
            </w:r>
            <w:r>
              <w:rPr>
                <w:rFonts w:ascii="Times New Roman" w:hAnsi="Times New Roman" w:cs="Times New Roman"/>
              </w:rPr>
              <w:t xml:space="preserve"> täiendatud</w:t>
            </w:r>
          </w:p>
          <w:p w14:paraId="751D0225" w14:textId="77777777" w:rsidR="009F1348" w:rsidRDefault="009F1348" w:rsidP="00574273">
            <w:pPr>
              <w:spacing w:line="276" w:lineRule="auto"/>
              <w:jc w:val="both"/>
              <w:rPr>
                <w:rFonts w:ascii="Times New Roman" w:hAnsi="Times New Roman" w:cs="Times New Roman"/>
              </w:rPr>
            </w:pPr>
          </w:p>
          <w:p w14:paraId="2B6EA67A" w14:textId="392833AC" w:rsidR="009F1348" w:rsidRPr="00D963AE" w:rsidRDefault="00B62546" w:rsidP="000D72E3">
            <w:pPr>
              <w:spacing w:line="276" w:lineRule="auto"/>
              <w:jc w:val="both"/>
              <w:rPr>
                <w:rFonts w:ascii="Times New Roman" w:hAnsi="Times New Roman" w:cs="Times New Roman"/>
              </w:rPr>
            </w:pPr>
            <w:r w:rsidRPr="14A94AAC">
              <w:rPr>
                <w:rFonts w:ascii="Times New Roman" w:hAnsi="Times New Roman" w:cs="Times New Roman"/>
              </w:rPr>
              <w:t>Teatud</w:t>
            </w:r>
            <w:r w:rsidR="002443B3" w:rsidRPr="14A94AAC">
              <w:rPr>
                <w:rFonts w:ascii="Times New Roman" w:hAnsi="Times New Roman" w:cs="Times New Roman"/>
              </w:rPr>
              <w:t xml:space="preserve"> h</w:t>
            </w:r>
            <w:r w:rsidR="009F1348" w:rsidRPr="14A94AAC">
              <w:rPr>
                <w:rFonts w:ascii="Times New Roman" w:hAnsi="Times New Roman" w:cs="Times New Roman"/>
              </w:rPr>
              <w:t>alduskoormus</w:t>
            </w:r>
            <w:r w:rsidR="002443B3" w:rsidRPr="14A94AAC">
              <w:rPr>
                <w:rFonts w:ascii="Times New Roman" w:hAnsi="Times New Roman" w:cs="Times New Roman"/>
              </w:rPr>
              <w:t xml:space="preserve"> tekib  kiirgusallika omanikele</w:t>
            </w:r>
            <w:r w:rsidR="009F1348" w:rsidRPr="14A94AAC">
              <w:rPr>
                <w:rFonts w:ascii="Times New Roman" w:hAnsi="Times New Roman" w:cs="Times New Roman"/>
              </w:rPr>
              <w:t xml:space="preserve">. </w:t>
            </w:r>
            <w:r w:rsidRPr="14A94AAC">
              <w:rPr>
                <w:rFonts w:ascii="Times New Roman" w:hAnsi="Times New Roman" w:cs="Times New Roman"/>
              </w:rPr>
              <w:t>Nimetatud muudatus ei jõustu kohe</w:t>
            </w:r>
            <w:r w:rsidR="00A97F21" w:rsidRPr="14A94AAC">
              <w:rPr>
                <w:rFonts w:ascii="Times New Roman" w:hAnsi="Times New Roman" w:cs="Times New Roman"/>
              </w:rPr>
              <w:t>, vaid sellele antakse üleminekuaeg</w:t>
            </w:r>
            <w:r w:rsidR="6C33C322" w:rsidRPr="14A94AAC">
              <w:rPr>
                <w:rFonts w:ascii="Times New Roman" w:hAnsi="Times New Roman" w:cs="Times New Roman"/>
              </w:rPr>
              <w:t xml:space="preserve"> (202</w:t>
            </w:r>
            <w:r w:rsidR="00AD18D4">
              <w:rPr>
                <w:rFonts w:ascii="Times New Roman" w:hAnsi="Times New Roman" w:cs="Times New Roman"/>
              </w:rPr>
              <w:t>9</w:t>
            </w:r>
            <w:r w:rsidR="6C33C322" w:rsidRPr="14A94AAC">
              <w:rPr>
                <w:rFonts w:ascii="Times New Roman" w:hAnsi="Times New Roman" w:cs="Times New Roman"/>
              </w:rPr>
              <w:t>)</w:t>
            </w:r>
            <w:r w:rsidR="00A97F21" w:rsidRPr="14A94AAC">
              <w:rPr>
                <w:rFonts w:ascii="Times New Roman" w:hAnsi="Times New Roman" w:cs="Times New Roman"/>
              </w:rPr>
              <w:t xml:space="preserve">. Riigile (Terviseametile) halduskoormus tõusta ei tohiks, kui </w:t>
            </w:r>
            <w:r w:rsidR="009070C7" w:rsidRPr="14A94AAC">
              <w:rPr>
                <w:rFonts w:ascii="Times New Roman" w:hAnsi="Times New Roman" w:cs="Times New Roman"/>
              </w:rPr>
              <w:t>nõuet täidetakse (T</w:t>
            </w:r>
            <w:r w:rsidR="00221D7B" w:rsidRPr="14A94AAC">
              <w:rPr>
                <w:rFonts w:ascii="Times New Roman" w:hAnsi="Times New Roman" w:cs="Times New Roman"/>
              </w:rPr>
              <w:t>erviseameti töötajal ei ole keeruline ohumärgistust ja juurdepääsu takistust tuvastada rutiinse järelevalve toimingu</w:t>
            </w:r>
            <w:r w:rsidR="293155B9" w:rsidRPr="14A94AAC">
              <w:rPr>
                <w:rFonts w:ascii="Times New Roman" w:hAnsi="Times New Roman" w:cs="Times New Roman"/>
              </w:rPr>
              <w:t xml:space="preserve"> raames</w:t>
            </w:r>
            <w:r w:rsidR="00221D7B" w:rsidRPr="14A94AAC">
              <w:rPr>
                <w:rFonts w:ascii="Times New Roman" w:hAnsi="Times New Roman" w:cs="Times New Roman"/>
              </w:rPr>
              <w:t>).</w:t>
            </w:r>
            <w:r w:rsidR="00A97F21" w:rsidRPr="14A94AAC">
              <w:rPr>
                <w:rFonts w:ascii="Times New Roman" w:hAnsi="Times New Roman" w:cs="Times New Roman"/>
              </w:rPr>
              <w:t xml:space="preserve"> </w:t>
            </w:r>
          </w:p>
        </w:tc>
      </w:tr>
      <w:tr w:rsidR="00820993" w:rsidRPr="00D963AE" w14:paraId="2C339DB0" w14:textId="77777777" w:rsidTr="14A94AAC">
        <w:trPr>
          <w:jc w:val="center"/>
        </w:trPr>
        <w:tc>
          <w:tcPr>
            <w:tcW w:w="1129" w:type="dxa"/>
            <w:shd w:val="clear" w:color="auto" w:fill="auto"/>
          </w:tcPr>
          <w:p w14:paraId="7561442A" w14:textId="77777777" w:rsidR="00820993" w:rsidRDefault="00820993" w:rsidP="00A265BC">
            <w:pPr>
              <w:pStyle w:val="Loendilik"/>
              <w:spacing w:line="276" w:lineRule="auto"/>
              <w:jc w:val="both"/>
              <w:rPr>
                <w:rFonts w:ascii="Times New Roman" w:hAnsi="Times New Roman" w:cs="Times New Roman"/>
              </w:rPr>
            </w:pPr>
          </w:p>
        </w:tc>
        <w:tc>
          <w:tcPr>
            <w:tcW w:w="7524" w:type="dxa"/>
          </w:tcPr>
          <w:p w14:paraId="2F80FE7D" w14:textId="344B74F1" w:rsidR="00820993" w:rsidRPr="00820993" w:rsidRDefault="00820993" w:rsidP="00DD67BC">
            <w:pPr>
              <w:spacing w:line="276" w:lineRule="auto"/>
              <w:jc w:val="both"/>
              <w:rPr>
                <w:rFonts w:ascii="Times New Roman" w:hAnsi="Times New Roman" w:cs="Times New Roman"/>
                <w:b/>
                <w:bCs/>
              </w:rPr>
            </w:pPr>
            <w:r w:rsidRPr="00820993">
              <w:rPr>
                <w:rFonts w:ascii="Times New Roman" w:hAnsi="Times New Roman" w:cs="Times New Roman"/>
                <w:b/>
                <w:bCs/>
              </w:rPr>
              <w:t>Majandus- ja Kommunikatsiooniministeerium</w:t>
            </w:r>
          </w:p>
        </w:tc>
        <w:tc>
          <w:tcPr>
            <w:tcW w:w="5676" w:type="dxa"/>
          </w:tcPr>
          <w:p w14:paraId="02AFC560" w14:textId="77777777" w:rsidR="00820993" w:rsidRPr="00D963AE" w:rsidRDefault="00820993" w:rsidP="00574273">
            <w:pPr>
              <w:spacing w:line="276" w:lineRule="auto"/>
              <w:jc w:val="both"/>
              <w:rPr>
                <w:rFonts w:ascii="Times New Roman" w:hAnsi="Times New Roman" w:cs="Times New Roman"/>
              </w:rPr>
            </w:pPr>
          </w:p>
        </w:tc>
      </w:tr>
      <w:tr w:rsidR="00820993" w:rsidRPr="00D963AE" w14:paraId="018DC6FD" w14:textId="77777777" w:rsidTr="14A94AAC">
        <w:trPr>
          <w:jc w:val="center"/>
        </w:trPr>
        <w:tc>
          <w:tcPr>
            <w:tcW w:w="1129" w:type="dxa"/>
            <w:shd w:val="clear" w:color="auto" w:fill="auto"/>
          </w:tcPr>
          <w:p w14:paraId="6E799B01" w14:textId="5B95E752" w:rsidR="00820993" w:rsidRDefault="00690686" w:rsidP="00A265BC">
            <w:pPr>
              <w:pStyle w:val="Loendilik"/>
              <w:spacing w:line="276" w:lineRule="auto"/>
              <w:jc w:val="both"/>
              <w:rPr>
                <w:rFonts w:ascii="Times New Roman" w:hAnsi="Times New Roman" w:cs="Times New Roman"/>
              </w:rPr>
            </w:pPr>
            <w:r>
              <w:rPr>
                <w:rFonts w:ascii="Times New Roman" w:hAnsi="Times New Roman" w:cs="Times New Roman"/>
              </w:rPr>
              <w:t>2.</w:t>
            </w:r>
          </w:p>
        </w:tc>
        <w:tc>
          <w:tcPr>
            <w:tcW w:w="7524" w:type="dxa"/>
          </w:tcPr>
          <w:p w14:paraId="1B7E05DF" w14:textId="77777777" w:rsidR="00690686" w:rsidRPr="00690686" w:rsidRDefault="00690686" w:rsidP="00690686">
            <w:pPr>
              <w:spacing w:line="276" w:lineRule="auto"/>
              <w:jc w:val="both"/>
              <w:rPr>
                <w:rFonts w:ascii="Times New Roman" w:hAnsi="Times New Roman" w:cs="Times New Roman"/>
              </w:rPr>
            </w:pPr>
            <w:r w:rsidRPr="00690686">
              <w:rPr>
                <w:rFonts w:ascii="Times New Roman" w:hAnsi="Times New Roman" w:cs="Times New Roman"/>
              </w:rPr>
              <w:t>Kommentaar puudutab eelnõu § 5 lõikeid 1, 4 ja 5 ja seletuskirja vastavate lõigete selgitusi.</w:t>
            </w:r>
          </w:p>
          <w:p w14:paraId="4CB3F661" w14:textId="77777777" w:rsidR="00690686" w:rsidRPr="00690686" w:rsidRDefault="00690686" w:rsidP="00690686">
            <w:pPr>
              <w:spacing w:line="276" w:lineRule="auto"/>
              <w:jc w:val="both"/>
              <w:rPr>
                <w:rFonts w:ascii="Times New Roman" w:hAnsi="Times New Roman" w:cs="Times New Roman"/>
              </w:rPr>
            </w:pPr>
          </w:p>
          <w:p w14:paraId="2EFFD42F" w14:textId="77777777" w:rsidR="00690686" w:rsidRPr="00690686" w:rsidRDefault="00690686" w:rsidP="00690686">
            <w:pPr>
              <w:spacing w:line="276" w:lineRule="auto"/>
              <w:jc w:val="both"/>
              <w:rPr>
                <w:rFonts w:ascii="Times New Roman" w:hAnsi="Times New Roman" w:cs="Times New Roman"/>
              </w:rPr>
            </w:pPr>
            <w:r w:rsidRPr="00690686">
              <w:rPr>
                <w:rFonts w:ascii="Times New Roman" w:hAnsi="Times New Roman" w:cs="Times New Roman"/>
              </w:rPr>
              <w:t xml:space="preserve">Kuna seletuskirja põhjal ei ole  eelnõu otseselt seotud Euroopa Liidu õigusega, on EVS-i hinnangul eelnõu § 5 lõike 4 puhul tegemist riigisisese standardite järgimise kohustusega (peavad vastama aja- ja asjakohastele normidele, standarditele ja soovitustele). Juhime tähelepanu, et toote nõuetele vastavuse seaduse § 42 lg 6 kohaselt on tehnilises normis lubatud standardile kohustuslikku viidet sätestada üksnes Eestile rahvusvahelisest õigusest või Euroopa Liidu õigusaktist tulenevate kohustuste täitmisel.  </w:t>
            </w:r>
          </w:p>
          <w:p w14:paraId="277BECF6" w14:textId="77777777" w:rsidR="00690686" w:rsidRPr="00690686" w:rsidRDefault="00690686" w:rsidP="00690686">
            <w:pPr>
              <w:spacing w:line="276" w:lineRule="auto"/>
              <w:jc w:val="both"/>
              <w:rPr>
                <w:rFonts w:ascii="Times New Roman" w:hAnsi="Times New Roman" w:cs="Times New Roman"/>
              </w:rPr>
            </w:pPr>
          </w:p>
          <w:p w14:paraId="583E63B2" w14:textId="77777777" w:rsidR="00690686" w:rsidRPr="00690686" w:rsidRDefault="00690686" w:rsidP="00690686">
            <w:pPr>
              <w:spacing w:line="276" w:lineRule="auto"/>
              <w:jc w:val="both"/>
              <w:rPr>
                <w:rFonts w:ascii="Times New Roman" w:hAnsi="Times New Roman" w:cs="Times New Roman"/>
              </w:rPr>
            </w:pPr>
            <w:r w:rsidRPr="00690686">
              <w:rPr>
                <w:rFonts w:ascii="Times New Roman" w:hAnsi="Times New Roman" w:cs="Times New Roman"/>
              </w:rPr>
              <w:t xml:space="preserve">Seetõttu, kui standardite järgimise kohustus ei tulene ka rahvusvahelisest õigusest, siis  palume standarditele (ja soovitustele) viidata soovituslikuna (nt </w:t>
            </w:r>
            <w:r w:rsidRPr="00690686">
              <w:rPr>
                <w:rFonts w:ascii="Times New Roman" w:hAnsi="Times New Roman" w:cs="Times New Roman"/>
              </w:rPr>
              <w:lastRenderedPageBreak/>
              <w:t xml:space="preserve">vastavuseelduse andmine või samaväärsuse lisamine vm sobiv lahendus). Kui normide all ei ole otseselt mõeldud õigusaktist tulenevaid norme, siis üheks võimalikuks sõnastuseks võib olla: peavad vastama aja- ja asjakohastele standarditele, soovitustele või muudele samaväärsetele dokumentidele. </w:t>
            </w:r>
          </w:p>
          <w:p w14:paraId="6C8384B2" w14:textId="77777777" w:rsidR="00690686" w:rsidRPr="00690686" w:rsidRDefault="00690686" w:rsidP="00690686">
            <w:pPr>
              <w:spacing w:line="276" w:lineRule="auto"/>
              <w:jc w:val="both"/>
              <w:rPr>
                <w:rFonts w:ascii="Times New Roman" w:hAnsi="Times New Roman" w:cs="Times New Roman"/>
              </w:rPr>
            </w:pPr>
            <w:r w:rsidRPr="00690686">
              <w:rPr>
                <w:rFonts w:ascii="Times New Roman" w:hAnsi="Times New Roman" w:cs="Times New Roman"/>
              </w:rPr>
              <w:t>Samas ei ole sättes välja toodud ka üldist nõuet, millele vastavust normide, standardite ja soovituste järgimisega tahetakse tagada.</w:t>
            </w:r>
          </w:p>
          <w:p w14:paraId="0C868320" w14:textId="77777777" w:rsidR="00690686" w:rsidRPr="00690686" w:rsidRDefault="00690686" w:rsidP="00690686">
            <w:pPr>
              <w:spacing w:line="276" w:lineRule="auto"/>
              <w:jc w:val="both"/>
              <w:rPr>
                <w:rFonts w:ascii="Times New Roman" w:hAnsi="Times New Roman" w:cs="Times New Roman"/>
              </w:rPr>
            </w:pPr>
          </w:p>
          <w:p w14:paraId="1F6109D1" w14:textId="77777777" w:rsidR="00690686" w:rsidRPr="00690686" w:rsidRDefault="00690686" w:rsidP="00690686">
            <w:pPr>
              <w:spacing w:line="276" w:lineRule="auto"/>
              <w:jc w:val="both"/>
              <w:rPr>
                <w:rFonts w:ascii="Times New Roman" w:hAnsi="Times New Roman" w:cs="Times New Roman"/>
              </w:rPr>
            </w:pPr>
            <w:r w:rsidRPr="00690686">
              <w:rPr>
                <w:rFonts w:ascii="Times New Roman" w:hAnsi="Times New Roman" w:cs="Times New Roman"/>
              </w:rPr>
              <w:t>Sama kommentaar puudutab ka § 5 lõikeid 1 ja 5, milles kohustatakse järgima ICNIRP ja ITU soovitusi. Kui need ei ole Eestile rahvusvaheliselt õiguslikult siduvad, tuleks nende järgimine sõnastada soovituslikuna.</w:t>
            </w:r>
          </w:p>
          <w:p w14:paraId="68C24A53" w14:textId="77777777" w:rsidR="00690686" w:rsidRPr="00690686" w:rsidRDefault="00690686" w:rsidP="00690686">
            <w:pPr>
              <w:spacing w:line="276" w:lineRule="auto"/>
              <w:jc w:val="both"/>
              <w:rPr>
                <w:rFonts w:ascii="Times New Roman" w:hAnsi="Times New Roman" w:cs="Times New Roman"/>
              </w:rPr>
            </w:pPr>
          </w:p>
          <w:p w14:paraId="4A3C72A5" w14:textId="00AA4339" w:rsidR="00820993" w:rsidRDefault="00690686" w:rsidP="00690686">
            <w:pPr>
              <w:spacing w:line="276" w:lineRule="auto"/>
              <w:jc w:val="both"/>
              <w:rPr>
                <w:rFonts w:ascii="Times New Roman" w:hAnsi="Times New Roman" w:cs="Times New Roman"/>
              </w:rPr>
            </w:pPr>
            <w:r w:rsidRPr="00690686">
              <w:rPr>
                <w:rFonts w:ascii="Times New Roman" w:hAnsi="Times New Roman" w:cs="Times New Roman"/>
              </w:rPr>
              <w:t>Eeltoodust lähtuvalt palume korrigeerida ka seletuskirja.</w:t>
            </w:r>
          </w:p>
        </w:tc>
        <w:tc>
          <w:tcPr>
            <w:tcW w:w="5676" w:type="dxa"/>
          </w:tcPr>
          <w:p w14:paraId="0C06F265" w14:textId="40EAC603" w:rsidR="00820993" w:rsidRPr="00D963AE" w:rsidRDefault="00354549" w:rsidP="00574273">
            <w:pPr>
              <w:spacing w:line="276" w:lineRule="auto"/>
              <w:jc w:val="both"/>
              <w:rPr>
                <w:rFonts w:ascii="Times New Roman" w:hAnsi="Times New Roman" w:cs="Times New Roman"/>
              </w:rPr>
            </w:pPr>
            <w:r w:rsidRPr="00354549">
              <w:rPr>
                <w:rFonts w:ascii="Times New Roman" w:hAnsi="Times New Roman" w:cs="Times New Roman"/>
                <w:b/>
                <w:bCs/>
              </w:rPr>
              <w:lastRenderedPageBreak/>
              <w:t>Arvestatud.</w:t>
            </w:r>
            <w:r>
              <w:rPr>
                <w:rFonts w:ascii="Times New Roman" w:hAnsi="Times New Roman" w:cs="Times New Roman"/>
              </w:rPr>
              <w:t xml:space="preserve"> Eelnõu ja seletuskir</w:t>
            </w:r>
            <w:r w:rsidR="003443E2">
              <w:rPr>
                <w:rFonts w:ascii="Times New Roman" w:hAnsi="Times New Roman" w:cs="Times New Roman"/>
              </w:rPr>
              <w:t xml:space="preserve">i </w:t>
            </w:r>
            <w:r>
              <w:rPr>
                <w:rFonts w:ascii="Times New Roman" w:hAnsi="Times New Roman" w:cs="Times New Roman"/>
              </w:rPr>
              <w:t>täiendatud.</w:t>
            </w:r>
          </w:p>
        </w:tc>
      </w:tr>
      <w:tr w:rsidR="00A265BC" w:rsidRPr="00D963AE" w14:paraId="60DC056B" w14:textId="77777777" w:rsidTr="14A94AAC">
        <w:trPr>
          <w:jc w:val="center"/>
        </w:trPr>
        <w:tc>
          <w:tcPr>
            <w:tcW w:w="1129" w:type="dxa"/>
            <w:shd w:val="clear" w:color="auto" w:fill="auto"/>
          </w:tcPr>
          <w:p w14:paraId="09F57933" w14:textId="77777777" w:rsidR="00A265BC" w:rsidRPr="00D963AE" w:rsidRDefault="00A265BC" w:rsidP="00A265BC">
            <w:pPr>
              <w:pStyle w:val="Loendilik"/>
              <w:spacing w:line="276" w:lineRule="auto"/>
              <w:jc w:val="both"/>
              <w:rPr>
                <w:rFonts w:ascii="Times New Roman" w:hAnsi="Times New Roman" w:cs="Times New Roman"/>
              </w:rPr>
            </w:pPr>
          </w:p>
        </w:tc>
        <w:tc>
          <w:tcPr>
            <w:tcW w:w="7524" w:type="dxa"/>
          </w:tcPr>
          <w:p w14:paraId="29375EFD" w14:textId="5745A7D7" w:rsidR="00A265BC" w:rsidRPr="008E0EB2" w:rsidRDefault="00A265BC" w:rsidP="008E0EB2">
            <w:pPr>
              <w:spacing w:line="276" w:lineRule="auto"/>
              <w:jc w:val="both"/>
              <w:rPr>
                <w:rFonts w:ascii="Times New Roman" w:hAnsi="Times New Roman" w:cs="Times New Roman"/>
              </w:rPr>
            </w:pPr>
            <w:r w:rsidRPr="009C14FA">
              <w:rPr>
                <w:rFonts w:ascii="Times New Roman" w:hAnsi="Times New Roman" w:cs="Times New Roman"/>
                <w:b/>
                <w:bCs/>
              </w:rPr>
              <w:t>Tarbijakaitse ja Tehnilise Järelevalve Amet</w:t>
            </w:r>
          </w:p>
        </w:tc>
        <w:tc>
          <w:tcPr>
            <w:tcW w:w="5676" w:type="dxa"/>
          </w:tcPr>
          <w:p w14:paraId="4C43D1FF" w14:textId="77777777" w:rsidR="00A265BC" w:rsidRPr="00406AE0" w:rsidRDefault="00A265BC" w:rsidP="00574273">
            <w:pPr>
              <w:spacing w:line="276" w:lineRule="auto"/>
              <w:jc w:val="both"/>
              <w:rPr>
                <w:rFonts w:ascii="Times New Roman" w:hAnsi="Times New Roman" w:cs="Times New Roman"/>
                <w:b/>
                <w:bCs/>
              </w:rPr>
            </w:pPr>
          </w:p>
        </w:tc>
      </w:tr>
      <w:tr w:rsidR="00A265BC" w:rsidRPr="00D963AE" w14:paraId="3DBC04BE" w14:textId="77777777" w:rsidTr="14A94AAC">
        <w:trPr>
          <w:jc w:val="center"/>
        </w:trPr>
        <w:tc>
          <w:tcPr>
            <w:tcW w:w="1129" w:type="dxa"/>
            <w:shd w:val="clear" w:color="auto" w:fill="auto"/>
          </w:tcPr>
          <w:p w14:paraId="6032AB64" w14:textId="0B6E4478" w:rsidR="00A265BC" w:rsidRPr="005A7F83" w:rsidRDefault="005A7F83" w:rsidP="005A7F83">
            <w:pPr>
              <w:tabs>
                <w:tab w:val="left" w:pos="882"/>
              </w:tabs>
              <w:spacing w:line="276" w:lineRule="auto"/>
              <w:ind w:left="360"/>
              <w:jc w:val="both"/>
              <w:rPr>
                <w:rFonts w:ascii="Times New Roman" w:hAnsi="Times New Roman" w:cs="Times New Roman"/>
              </w:rPr>
            </w:pPr>
            <w:r>
              <w:rPr>
                <w:rFonts w:ascii="Times New Roman" w:hAnsi="Times New Roman" w:cs="Times New Roman"/>
              </w:rPr>
              <w:tab/>
            </w:r>
            <w:r w:rsidR="00690686">
              <w:rPr>
                <w:rFonts w:ascii="Times New Roman" w:hAnsi="Times New Roman" w:cs="Times New Roman"/>
              </w:rPr>
              <w:t>3.</w:t>
            </w:r>
          </w:p>
        </w:tc>
        <w:tc>
          <w:tcPr>
            <w:tcW w:w="7524" w:type="dxa"/>
          </w:tcPr>
          <w:p w14:paraId="12E60C66" w14:textId="539CDDDA" w:rsidR="00A265BC" w:rsidRPr="008E0EB2" w:rsidRDefault="002C2C41" w:rsidP="00A265BC">
            <w:pPr>
              <w:spacing w:line="276" w:lineRule="auto"/>
              <w:jc w:val="both"/>
              <w:rPr>
                <w:rFonts w:ascii="Times New Roman" w:hAnsi="Times New Roman" w:cs="Times New Roman"/>
              </w:rPr>
            </w:pPr>
            <w:r w:rsidRPr="002C2C41">
              <w:rPr>
                <w:rFonts w:ascii="Times New Roman" w:hAnsi="Times New Roman" w:cs="Times New Roman"/>
              </w:rPr>
              <w:t xml:space="preserve">Tarbijakaitse ja Tehnilise Järelevalve Amet (edaspidi TTJA) tänab võimaluse eest avaldada arvamust sotsiaalministri määruse „Mitteioniseeriva kiirguse ohutuse tagamise nõuded ja hindamise kord“ eelnõule (edaspidi eelnõu). Käesolevaga esitab TTJA oma arvamuse ja tähelepanekud. Esitame omapoolse ettepaneku eelnõu lisa „Mitteioniseeriva kiirguse piirväärtused“ punkti 2 alapunkti d täpsustamiseks, et tagada mõõtmistulemuste suurem selgus ja usaldusväärsus. Teeme ettepaneku reguleerida kõnealune punkt järgmiselt: „d) </w:t>
            </w:r>
            <w:proofErr w:type="spellStart"/>
            <w:r w:rsidRPr="002C2C41">
              <w:rPr>
                <w:rFonts w:ascii="Times New Roman" w:hAnsi="Times New Roman" w:cs="Times New Roman"/>
              </w:rPr>
              <w:t>keskmistamise</w:t>
            </w:r>
            <w:proofErr w:type="spellEnd"/>
            <w:r w:rsidRPr="002C2C41">
              <w:rPr>
                <w:rFonts w:ascii="Times New Roman" w:hAnsi="Times New Roman" w:cs="Times New Roman"/>
              </w:rPr>
              <w:t xml:space="preserve"> aeg püsiva välja mõõtmisel: -sagedustel 0 Hz – 100 kHz on määrav mõõdetud väljasuuruse suurim efektiivväärtus; -sagedustel 100 kHz –10 GHz on väljasuuruse efektiivväärtuste </w:t>
            </w:r>
            <w:proofErr w:type="spellStart"/>
            <w:r w:rsidRPr="002C2C41">
              <w:rPr>
                <w:rFonts w:ascii="Times New Roman" w:hAnsi="Times New Roman" w:cs="Times New Roman"/>
              </w:rPr>
              <w:t>keskmistamise</w:t>
            </w:r>
            <w:proofErr w:type="spellEnd"/>
            <w:r w:rsidRPr="002C2C41">
              <w:rPr>
                <w:rFonts w:ascii="Times New Roman" w:hAnsi="Times New Roman" w:cs="Times New Roman"/>
              </w:rPr>
              <w:t xml:space="preserve"> aeg vähemalt 6 minutit; -sagedustel üle 10 GHz arvutatakse väljasuuruse efektiivväärtuste </w:t>
            </w:r>
            <w:proofErr w:type="spellStart"/>
            <w:r w:rsidRPr="002C2C41">
              <w:rPr>
                <w:rFonts w:ascii="Times New Roman" w:hAnsi="Times New Roman" w:cs="Times New Roman"/>
              </w:rPr>
              <w:t>keskmistamise</w:t>
            </w:r>
            <w:proofErr w:type="spellEnd"/>
            <w:r w:rsidRPr="002C2C41">
              <w:rPr>
                <w:rFonts w:ascii="Times New Roman" w:hAnsi="Times New Roman" w:cs="Times New Roman"/>
              </w:rPr>
              <w:t xml:space="preserve"> minimaalne aeg minutites valemiga 68 / f1,05, kus f väärtus võetakse gigahertsides;“ Sõna „soovitatav“ kasutamine sagedusvahemikus 100 kHz – 10 GHz võib tekitada olukorra, kus mõõtmiste teostamine ei pruugi lühema kasutatud ajavahemiku tõttu tagada piisavalt täpset ja usaldusväärset tulemust. Asendades soovituse minimaalse </w:t>
            </w:r>
            <w:proofErr w:type="spellStart"/>
            <w:r w:rsidRPr="002C2C41">
              <w:rPr>
                <w:rFonts w:ascii="Times New Roman" w:hAnsi="Times New Roman" w:cs="Times New Roman"/>
              </w:rPr>
              <w:t>keskmistamise</w:t>
            </w:r>
            <w:proofErr w:type="spellEnd"/>
            <w:r w:rsidRPr="002C2C41">
              <w:rPr>
                <w:rFonts w:ascii="Times New Roman" w:hAnsi="Times New Roman" w:cs="Times New Roman"/>
              </w:rPr>
              <w:t xml:space="preserve"> ajaga, anname mõõtjale paindlikkuse teostada vajadusel pikemat </w:t>
            </w:r>
            <w:proofErr w:type="spellStart"/>
            <w:r w:rsidRPr="002C2C41">
              <w:rPr>
                <w:rFonts w:ascii="Times New Roman" w:hAnsi="Times New Roman" w:cs="Times New Roman"/>
              </w:rPr>
              <w:t>keskmistamist</w:t>
            </w:r>
            <w:proofErr w:type="spellEnd"/>
            <w:r w:rsidRPr="002C2C41">
              <w:rPr>
                <w:rFonts w:ascii="Times New Roman" w:hAnsi="Times New Roman" w:cs="Times New Roman"/>
              </w:rPr>
              <w:t xml:space="preserve">, mis omakorda suurendab tulemuse täpsust. Samas on tagatud minimaalne nõutud tase, </w:t>
            </w:r>
            <w:r w:rsidRPr="002C2C41">
              <w:rPr>
                <w:rFonts w:ascii="Times New Roman" w:hAnsi="Times New Roman" w:cs="Times New Roman"/>
              </w:rPr>
              <w:lastRenderedPageBreak/>
              <w:t>mis on kooskõlas rahvusvahelise praktikaga. Selguse huvides tuleks sagedustel üle 10 GHz kasutatava valemi juurde lisada, et tulemus saadakse minutites. See välistab segaduse ja tagab, et valemi rakendamine oleks üheselt mõistetav. Üldiselt toetame eelnõuga kavandatavat regulatsiooni, kuid palume arvestada eeltoodud ettepanekuga.</w:t>
            </w:r>
          </w:p>
        </w:tc>
        <w:tc>
          <w:tcPr>
            <w:tcW w:w="5676" w:type="dxa"/>
          </w:tcPr>
          <w:p w14:paraId="1E765C34" w14:textId="0A485D7B" w:rsidR="00A265BC" w:rsidRPr="00406AE0" w:rsidRDefault="00A265BC" w:rsidP="00A265BC">
            <w:pPr>
              <w:spacing w:line="276" w:lineRule="auto"/>
              <w:jc w:val="both"/>
              <w:rPr>
                <w:rFonts w:ascii="Times New Roman" w:hAnsi="Times New Roman" w:cs="Times New Roman"/>
                <w:b/>
                <w:bCs/>
              </w:rPr>
            </w:pPr>
            <w:r w:rsidRPr="00406AE0">
              <w:rPr>
                <w:rFonts w:ascii="Times New Roman" w:hAnsi="Times New Roman" w:cs="Times New Roman"/>
                <w:b/>
                <w:bCs/>
              </w:rPr>
              <w:lastRenderedPageBreak/>
              <w:t>Arvestatud.</w:t>
            </w:r>
            <w:r>
              <w:rPr>
                <w:rFonts w:ascii="Times New Roman" w:hAnsi="Times New Roman" w:cs="Times New Roman"/>
              </w:rPr>
              <w:t xml:space="preserve"> </w:t>
            </w:r>
            <w:r w:rsidR="00BF3970">
              <w:rPr>
                <w:rFonts w:ascii="Times New Roman" w:hAnsi="Times New Roman" w:cs="Times New Roman"/>
              </w:rPr>
              <w:t>Määruse l</w:t>
            </w:r>
            <w:r w:rsidR="005B1701">
              <w:rPr>
                <w:rFonts w:ascii="Times New Roman" w:hAnsi="Times New Roman" w:cs="Times New Roman"/>
              </w:rPr>
              <w:t>isa</w:t>
            </w:r>
            <w:r w:rsidR="00FE4C90">
              <w:rPr>
                <w:rFonts w:ascii="Times New Roman" w:hAnsi="Times New Roman" w:cs="Times New Roman"/>
              </w:rPr>
              <w:t xml:space="preserve"> punkti d</w:t>
            </w:r>
            <w:r w:rsidR="005B1701">
              <w:rPr>
                <w:rFonts w:ascii="Times New Roman" w:hAnsi="Times New Roman" w:cs="Times New Roman"/>
              </w:rPr>
              <w:t xml:space="preserve"> sõnastust </w:t>
            </w:r>
            <w:r w:rsidR="003054EB">
              <w:rPr>
                <w:rFonts w:ascii="Times New Roman" w:hAnsi="Times New Roman" w:cs="Times New Roman"/>
              </w:rPr>
              <w:t>muudetud.</w:t>
            </w:r>
          </w:p>
        </w:tc>
      </w:tr>
      <w:tr w:rsidR="00A265BC" w:rsidRPr="00D963AE" w14:paraId="1FF0C2AD" w14:textId="77777777" w:rsidTr="14A94AAC">
        <w:trPr>
          <w:jc w:val="center"/>
        </w:trPr>
        <w:tc>
          <w:tcPr>
            <w:tcW w:w="1129" w:type="dxa"/>
            <w:shd w:val="clear" w:color="auto" w:fill="auto"/>
          </w:tcPr>
          <w:p w14:paraId="0A666F78" w14:textId="77777777" w:rsidR="00A265BC" w:rsidRPr="00D963AE" w:rsidRDefault="00A265BC" w:rsidP="005A7F83">
            <w:pPr>
              <w:pStyle w:val="Loendilik"/>
              <w:spacing w:line="276" w:lineRule="auto"/>
              <w:jc w:val="both"/>
              <w:rPr>
                <w:rFonts w:ascii="Times New Roman" w:hAnsi="Times New Roman" w:cs="Times New Roman"/>
              </w:rPr>
            </w:pPr>
          </w:p>
        </w:tc>
        <w:tc>
          <w:tcPr>
            <w:tcW w:w="7524" w:type="dxa"/>
          </w:tcPr>
          <w:p w14:paraId="16CEF8B5" w14:textId="24B808F4" w:rsidR="00A265BC" w:rsidRPr="00D963AE" w:rsidRDefault="00AB133B" w:rsidP="00BF3970">
            <w:pPr>
              <w:rPr>
                <w:rFonts w:ascii="Times New Roman" w:eastAsia="Times New Roman" w:hAnsi="Times New Roman" w:cs="Times New Roman"/>
                <w:color w:val="000000"/>
              </w:rPr>
            </w:pPr>
            <w:r>
              <w:rPr>
                <w:rFonts w:ascii="Times New Roman" w:hAnsi="Times New Roman" w:cs="Times New Roman"/>
                <w:b/>
                <w:bCs/>
              </w:rPr>
              <w:t>Tallinna Tehnikaülikool</w:t>
            </w:r>
          </w:p>
        </w:tc>
        <w:tc>
          <w:tcPr>
            <w:tcW w:w="5676" w:type="dxa"/>
          </w:tcPr>
          <w:p w14:paraId="1D27EE61" w14:textId="7EC7D6CA" w:rsidR="00A265BC" w:rsidRPr="00D963AE" w:rsidRDefault="00A265BC" w:rsidP="00A265BC">
            <w:pPr>
              <w:spacing w:line="276" w:lineRule="auto"/>
              <w:jc w:val="both"/>
              <w:rPr>
                <w:rFonts w:ascii="Times New Roman" w:hAnsi="Times New Roman" w:cs="Times New Roman"/>
              </w:rPr>
            </w:pPr>
          </w:p>
        </w:tc>
      </w:tr>
      <w:tr w:rsidR="00A265BC" w:rsidRPr="00D963AE" w14:paraId="41A39CFF" w14:textId="77777777" w:rsidTr="14A94AAC">
        <w:trPr>
          <w:jc w:val="center"/>
        </w:trPr>
        <w:tc>
          <w:tcPr>
            <w:tcW w:w="1129" w:type="dxa"/>
            <w:shd w:val="clear" w:color="auto" w:fill="auto"/>
          </w:tcPr>
          <w:p w14:paraId="7D2D72C6" w14:textId="0ECBC9D5" w:rsidR="00A265BC" w:rsidRPr="00D963AE" w:rsidRDefault="00690686" w:rsidP="00A265BC">
            <w:pPr>
              <w:spacing w:line="276" w:lineRule="auto"/>
              <w:jc w:val="both"/>
              <w:rPr>
                <w:rFonts w:ascii="Times New Roman" w:hAnsi="Times New Roman" w:cs="Times New Roman"/>
              </w:rPr>
            </w:pPr>
            <w:r>
              <w:rPr>
                <w:rFonts w:ascii="Times New Roman" w:hAnsi="Times New Roman" w:cs="Times New Roman"/>
              </w:rPr>
              <w:t>4.</w:t>
            </w:r>
          </w:p>
        </w:tc>
        <w:tc>
          <w:tcPr>
            <w:tcW w:w="7524" w:type="dxa"/>
          </w:tcPr>
          <w:p w14:paraId="339360C6" w14:textId="77777777" w:rsidR="00050AB8" w:rsidRPr="00050AB8" w:rsidRDefault="00050AB8" w:rsidP="00050AB8">
            <w:pPr>
              <w:jc w:val="both"/>
              <w:rPr>
                <w:rFonts w:ascii="Times New Roman" w:hAnsi="Times New Roman" w:cs="Times New Roman"/>
              </w:rPr>
            </w:pPr>
            <w:r w:rsidRPr="00050AB8">
              <w:rPr>
                <w:rFonts w:ascii="Times New Roman" w:hAnsi="Times New Roman" w:cs="Times New Roman"/>
              </w:rPr>
              <w:t>Olete edastanud Tallinna Tehnikaülikoolile k.a 15. augustil märgukirja Rahvatervise seaduse rakendusaktina alates 01.09.2025 kehtima hakkava ministri määruse „Mitteioniseeriva kiirguse ohutuse tagamise nõuded ja hindamise kord“ eelnõu kavandi. Oleme tutvunud esitatud eelnõu kavandi sisuga ja edastame allolevalt meie seisukohad edastatud kavandi suhtes, sõnastatuna ettepanekutena.</w:t>
            </w:r>
          </w:p>
          <w:p w14:paraId="37F46B77" w14:textId="77777777" w:rsidR="00050AB8" w:rsidRPr="00050AB8" w:rsidRDefault="00050AB8" w:rsidP="00050AB8">
            <w:pPr>
              <w:jc w:val="both"/>
              <w:rPr>
                <w:rFonts w:ascii="Times New Roman" w:hAnsi="Times New Roman" w:cs="Times New Roman"/>
              </w:rPr>
            </w:pPr>
            <w:r w:rsidRPr="00050AB8">
              <w:rPr>
                <w:rFonts w:ascii="Times New Roman" w:hAnsi="Times New Roman" w:cs="Times New Roman"/>
              </w:rPr>
              <w:t>Ettepanek 1.</w:t>
            </w:r>
          </w:p>
          <w:p w14:paraId="36CB7E69" w14:textId="77777777" w:rsidR="00050AB8" w:rsidRPr="00050AB8" w:rsidRDefault="00050AB8" w:rsidP="00050AB8">
            <w:pPr>
              <w:jc w:val="both"/>
              <w:rPr>
                <w:rFonts w:ascii="Times New Roman" w:hAnsi="Times New Roman" w:cs="Times New Roman"/>
              </w:rPr>
            </w:pPr>
            <w:r w:rsidRPr="00050AB8">
              <w:rPr>
                <w:rFonts w:ascii="Times New Roman" w:hAnsi="Times New Roman" w:cs="Times New Roman"/>
              </w:rPr>
              <w:t>Eelnõu kavandi § 6. Mitteioniseeriva kiirguse hindamise kord lõikes (1) on sõnastatud</w:t>
            </w:r>
          </w:p>
          <w:p w14:paraId="37BD553E" w14:textId="77777777" w:rsidR="00050AB8" w:rsidRPr="00050AB8" w:rsidRDefault="00050AB8" w:rsidP="00050AB8">
            <w:pPr>
              <w:jc w:val="both"/>
              <w:rPr>
                <w:rFonts w:ascii="Times New Roman" w:hAnsi="Times New Roman" w:cs="Times New Roman"/>
              </w:rPr>
            </w:pPr>
            <w:r w:rsidRPr="00050AB8">
              <w:rPr>
                <w:rFonts w:ascii="Times New Roman" w:hAnsi="Times New Roman" w:cs="Times New Roman"/>
              </w:rPr>
              <w:t xml:space="preserve">„Mitteioniseeriva kiirguse, sealhulgas </w:t>
            </w:r>
            <w:proofErr w:type="spellStart"/>
            <w:r w:rsidRPr="00050AB8">
              <w:rPr>
                <w:rFonts w:ascii="Times New Roman" w:hAnsi="Times New Roman" w:cs="Times New Roman"/>
              </w:rPr>
              <w:t>mitmesageduslikud</w:t>
            </w:r>
            <w:proofErr w:type="spellEnd"/>
            <w:r w:rsidRPr="00050AB8">
              <w:rPr>
                <w:rFonts w:ascii="Times New Roman" w:hAnsi="Times New Roman" w:cs="Times New Roman"/>
              </w:rPr>
              <w:t xml:space="preserve"> või mitme kiirgusallika väljatasemed elukeskkonnas arvutatakse, modelleeritakse või mõõdetakse ning hinnatakse piirväärtuste suhtes vastavalt ICNIRP ja Rahvusvahelise Telekommunikatsiooni Liidu (edaspidi ITU) asjakohastele soovitustele.“</w:t>
            </w:r>
          </w:p>
          <w:p w14:paraId="757BEFDB" w14:textId="77777777" w:rsidR="00050AB8" w:rsidRPr="00050AB8" w:rsidRDefault="00050AB8" w:rsidP="00050AB8">
            <w:pPr>
              <w:jc w:val="both"/>
              <w:rPr>
                <w:rFonts w:ascii="Times New Roman" w:hAnsi="Times New Roman" w:cs="Times New Roman"/>
              </w:rPr>
            </w:pPr>
            <w:r w:rsidRPr="00050AB8">
              <w:rPr>
                <w:rFonts w:ascii="Times New Roman" w:hAnsi="Times New Roman" w:cs="Times New Roman"/>
              </w:rPr>
              <w:t>Juhime tähelepanu, et Eesti Vabariigi kontekstis on esmased normatiivalused kehtestatud ja leitavad Eesti Vabariigi standarditest, juhinduda tuleks mh ka Euroopa Liidu regulatsioonist ning organisatsioonidest tegelevad antud valdkonna normatiivide väljatöötamisega ka IEC, CENELEC, ECC, CIGRE, IEEE jt. Normatiivide haldajate laiendamine ja täpsustamine aitab kaasata seisukohti tehnoloogiate hindamisel, milliseid ICNIRP ega ITU ei adresseeri, sh elektrienergiavarustuskomponendid (elektriliinid, traadita laadimise süsteemid jt), tööstusseadmed (nt induktsioon- ja dielektrilise kuumutamise seadmed). Teeme antud asjaolust lähtuvalt ettepaneku sõnastada § 6 lõike (1) alljärgnevalt</w:t>
            </w:r>
          </w:p>
          <w:p w14:paraId="53990CD7" w14:textId="2EAD9793" w:rsidR="00A265BC" w:rsidRPr="00050AB8" w:rsidRDefault="00050AB8" w:rsidP="00050AB8">
            <w:pPr>
              <w:jc w:val="both"/>
              <w:rPr>
                <w:rFonts w:ascii="Times New Roman" w:hAnsi="Times New Roman" w:cs="Times New Roman"/>
              </w:rPr>
            </w:pPr>
            <w:r w:rsidRPr="00050AB8">
              <w:rPr>
                <w:rFonts w:ascii="Times New Roman" w:hAnsi="Times New Roman" w:cs="Times New Roman"/>
              </w:rPr>
              <w:t xml:space="preserve">„Mitteioniseeriva kiirguse, sealhulgas </w:t>
            </w:r>
            <w:proofErr w:type="spellStart"/>
            <w:r w:rsidRPr="00050AB8">
              <w:rPr>
                <w:rFonts w:ascii="Times New Roman" w:hAnsi="Times New Roman" w:cs="Times New Roman"/>
              </w:rPr>
              <w:t>mitmesageduslikud</w:t>
            </w:r>
            <w:proofErr w:type="spellEnd"/>
            <w:r w:rsidRPr="00050AB8">
              <w:rPr>
                <w:rFonts w:ascii="Times New Roman" w:hAnsi="Times New Roman" w:cs="Times New Roman"/>
              </w:rPr>
              <w:t xml:space="preserve"> või mitme kiirgusallika kumulatiivsed väljatasemed elukeskkonnas arvutatakse, modelleeritakse või mõõdetakse ning hinnatakse piirväärtuste suhtes vastavalt Eesti Vabariigis kehtivatele normdokumentidele, EL, ICNIRP, IEC (Rahvusvaheline Elektrotehnikakomisjon), ITU (Rahvusvahelise Telekommunikatsiooni Liidu) või </w:t>
            </w:r>
            <w:r w:rsidRPr="00050AB8">
              <w:rPr>
                <w:rFonts w:ascii="Times New Roman" w:hAnsi="Times New Roman" w:cs="Times New Roman"/>
              </w:rPr>
              <w:lastRenderedPageBreak/>
              <w:t>muu tehnoloogia-spetsiifilise pädevusega organisatsiooni asjakohastele soovitustele".</w:t>
            </w:r>
          </w:p>
        </w:tc>
        <w:tc>
          <w:tcPr>
            <w:tcW w:w="5676" w:type="dxa"/>
          </w:tcPr>
          <w:p w14:paraId="318E7823" w14:textId="03678DC7" w:rsidR="00A265BC" w:rsidRPr="00D963AE" w:rsidRDefault="0080053D" w:rsidP="00A265BC">
            <w:pPr>
              <w:spacing w:line="276" w:lineRule="auto"/>
              <w:jc w:val="both"/>
              <w:rPr>
                <w:rFonts w:ascii="Times New Roman" w:hAnsi="Times New Roman" w:cs="Times New Roman"/>
                <w:b/>
                <w:bCs/>
              </w:rPr>
            </w:pPr>
            <w:r>
              <w:rPr>
                <w:rFonts w:ascii="Times New Roman" w:hAnsi="Times New Roman" w:cs="Times New Roman"/>
                <w:b/>
                <w:bCs/>
              </w:rPr>
              <w:lastRenderedPageBreak/>
              <w:t>Arvestatud</w:t>
            </w:r>
            <w:r w:rsidR="005760E9">
              <w:rPr>
                <w:rFonts w:ascii="Times New Roman" w:hAnsi="Times New Roman" w:cs="Times New Roman"/>
                <w:b/>
                <w:bCs/>
              </w:rPr>
              <w:t xml:space="preserve"> osaliselt</w:t>
            </w:r>
            <w:r>
              <w:rPr>
                <w:rFonts w:ascii="Times New Roman" w:hAnsi="Times New Roman" w:cs="Times New Roman"/>
                <w:b/>
                <w:bCs/>
              </w:rPr>
              <w:t xml:space="preserve">. </w:t>
            </w:r>
            <w:r w:rsidR="005760E9" w:rsidRPr="005760E9">
              <w:rPr>
                <w:rFonts w:ascii="Times New Roman" w:hAnsi="Times New Roman" w:cs="Times New Roman"/>
              </w:rPr>
              <w:t>Eelnõu</w:t>
            </w:r>
            <w:r w:rsidR="001C14C3">
              <w:rPr>
                <w:rFonts w:ascii="Times New Roman" w:hAnsi="Times New Roman" w:cs="Times New Roman"/>
              </w:rPr>
              <w:t xml:space="preserve"> ja seletuskirja</w:t>
            </w:r>
            <w:r w:rsidR="005760E9" w:rsidRPr="005760E9">
              <w:rPr>
                <w:rFonts w:ascii="Times New Roman" w:hAnsi="Times New Roman" w:cs="Times New Roman"/>
              </w:rPr>
              <w:t xml:space="preserve"> sõnastust laiendatud.</w:t>
            </w:r>
          </w:p>
        </w:tc>
      </w:tr>
      <w:tr w:rsidR="00A265BC" w:rsidRPr="00D963AE" w14:paraId="55C8296F" w14:textId="77777777" w:rsidTr="14A94AAC">
        <w:trPr>
          <w:jc w:val="center"/>
        </w:trPr>
        <w:tc>
          <w:tcPr>
            <w:tcW w:w="1129" w:type="dxa"/>
            <w:shd w:val="clear" w:color="auto" w:fill="auto"/>
          </w:tcPr>
          <w:p w14:paraId="2269F6AD" w14:textId="28D606D9" w:rsidR="00A265BC" w:rsidRPr="00D963AE" w:rsidRDefault="00690686" w:rsidP="00A265BC">
            <w:pPr>
              <w:spacing w:line="276" w:lineRule="auto"/>
              <w:jc w:val="both"/>
              <w:rPr>
                <w:rFonts w:ascii="Times New Roman" w:hAnsi="Times New Roman" w:cs="Times New Roman"/>
              </w:rPr>
            </w:pPr>
            <w:r>
              <w:rPr>
                <w:rFonts w:ascii="Times New Roman" w:hAnsi="Times New Roman" w:cs="Times New Roman"/>
              </w:rPr>
              <w:t>5.</w:t>
            </w:r>
            <w:r w:rsidR="00A36F88">
              <w:rPr>
                <w:rFonts w:ascii="Times New Roman" w:hAnsi="Times New Roman" w:cs="Times New Roman"/>
              </w:rPr>
              <w:t xml:space="preserve"> </w:t>
            </w:r>
          </w:p>
        </w:tc>
        <w:tc>
          <w:tcPr>
            <w:tcW w:w="7524" w:type="dxa"/>
          </w:tcPr>
          <w:p w14:paraId="365F3D3B" w14:textId="77777777" w:rsidR="00A36F88" w:rsidRPr="00A36F88" w:rsidRDefault="00A36F88" w:rsidP="00A36F88">
            <w:pPr>
              <w:jc w:val="both"/>
              <w:rPr>
                <w:rFonts w:ascii="Times New Roman" w:hAnsi="Times New Roman" w:cs="Times New Roman"/>
              </w:rPr>
            </w:pPr>
            <w:r w:rsidRPr="00A36F88">
              <w:rPr>
                <w:rFonts w:ascii="Times New Roman" w:hAnsi="Times New Roman" w:cs="Times New Roman"/>
              </w:rPr>
              <w:t>Ettepanek 2.</w:t>
            </w:r>
          </w:p>
          <w:p w14:paraId="38787810" w14:textId="2A9928EF" w:rsidR="0040047F" w:rsidRPr="0040047F" w:rsidRDefault="00A36F88" w:rsidP="00A36F88">
            <w:pPr>
              <w:jc w:val="both"/>
              <w:rPr>
                <w:rFonts w:ascii="Times New Roman" w:hAnsi="Times New Roman" w:cs="Times New Roman"/>
              </w:rPr>
            </w:pPr>
            <w:r w:rsidRPr="00A36F88">
              <w:rPr>
                <w:rFonts w:ascii="Times New Roman" w:hAnsi="Times New Roman" w:cs="Times New Roman"/>
              </w:rPr>
              <w:t xml:space="preserve">Eelnõu kavandi § 6. Mitteioniseeriva kiirguse hindamise kord lõikes (4) punktis 2) on sõnastatud </w:t>
            </w:r>
            <w:r w:rsidR="0040047F" w:rsidRPr="0040047F">
              <w:rPr>
                <w:rFonts w:ascii="Times New Roman" w:hAnsi="Times New Roman" w:cs="Times New Roman"/>
              </w:rPr>
              <w:t xml:space="preserve">„kiirgusallika ohutsooni ulatuse hindamine ja määramine arvutuste, modelleerimise või mõõtmiste teel toimub vastavalt asjakohastele ITU soovitustele“. </w:t>
            </w:r>
          </w:p>
          <w:p w14:paraId="00A2DB54" w14:textId="77777777" w:rsidR="0040047F" w:rsidRPr="0040047F" w:rsidRDefault="0040047F" w:rsidP="0040047F">
            <w:pPr>
              <w:jc w:val="both"/>
              <w:rPr>
                <w:rFonts w:ascii="Times New Roman" w:hAnsi="Times New Roman" w:cs="Times New Roman"/>
              </w:rPr>
            </w:pPr>
            <w:r w:rsidRPr="0040047F">
              <w:rPr>
                <w:rFonts w:ascii="Times New Roman" w:hAnsi="Times New Roman" w:cs="Times New Roman"/>
              </w:rPr>
              <w:t xml:space="preserve">Juhime tähelepanu, et ITU organisatsioon esitab telekommunikatsioonisüsteemide kontekstist talitlevate süsteemidele ja nende komponentidele kohalduvad ja asjakohased juhised mitteioniseeriva kiirguse tasemete ja nende ohutuse hindamiseks inimese tervisele. Korrates ettepanekus 1 esitatud märkuseid erinevate tehnoloogiate jaoks sobilike meetodite osas, rõhutame vajadust asjakohaste meetodite allikatena nimetada esmalt Eesti Vabariigis kehtivaid normdokumente, EL regulatsioone ning seejärel tehnoloogia-spetsiifiliste pädevate organisatsioonide soovitusi. Teeme antud asjaolust lähtuvalt ettepaneku sõnastada § 6 lõike (4) punkti 2) alljärgnevalt </w:t>
            </w:r>
          </w:p>
          <w:p w14:paraId="562900CC" w14:textId="02C4CD02" w:rsidR="00A265BC" w:rsidRPr="00D963AE" w:rsidRDefault="0040047F" w:rsidP="0040047F">
            <w:pPr>
              <w:jc w:val="both"/>
              <w:rPr>
                <w:rFonts w:ascii="Times New Roman" w:hAnsi="Times New Roman" w:cs="Times New Roman"/>
              </w:rPr>
            </w:pPr>
            <w:r w:rsidRPr="0040047F">
              <w:rPr>
                <w:rFonts w:ascii="Times New Roman" w:hAnsi="Times New Roman" w:cs="Times New Roman"/>
              </w:rPr>
              <w:t>„mitteioniseeriva kiirguse allika ohutsooni ulatuse hindamine ja määramine arvutuste, modelleerimise või mõõtmiste teel toimub vastavalt asjakohastele ja asukohas väljasuurusi kujundavate tehnoloogiate eripärasid arvestavate, käesoleva paragrahvi punktis (1) loetletud normatiividele ja pädevate organisatsioonide soovitustele“.</w:t>
            </w:r>
          </w:p>
        </w:tc>
        <w:tc>
          <w:tcPr>
            <w:tcW w:w="5676" w:type="dxa"/>
          </w:tcPr>
          <w:p w14:paraId="7E10638E" w14:textId="75367C98" w:rsidR="00A265BC" w:rsidRPr="00D963AE" w:rsidRDefault="00226BB1" w:rsidP="00A265BC">
            <w:pPr>
              <w:spacing w:line="276" w:lineRule="auto"/>
              <w:jc w:val="both"/>
              <w:rPr>
                <w:rFonts w:ascii="Times New Roman" w:hAnsi="Times New Roman" w:cs="Times New Roman"/>
                <w:b/>
                <w:bCs/>
              </w:rPr>
            </w:pPr>
            <w:r>
              <w:rPr>
                <w:rFonts w:ascii="Times New Roman" w:hAnsi="Times New Roman" w:cs="Times New Roman"/>
                <w:b/>
                <w:bCs/>
              </w:rPr>
              <w:t xml:space="preserve">Arvestatud. </w:t>
            </w:r>
            <w:r w:rsidRPr="00226BB1">
              <w:rPr>
                <w:rFonts w:ascii="Times New Roman" w:hAnsi="Times New Roman" w:cs="Times New Roman"/>
              </w:rPr>
              <w:t>Eelnõu sõnastust muudetud.</w:t>
            </w:r>
          </w:p>
        </w:tc>
      </w:tr>
      <w:tr w:rsidR="00A265BC" w:rsidRPr="00D963AE" w14:paraId="60B555F0" w14:textId="77777777" w:rsidTr="14A94AAC">
        <w:trPr>
          <w:jc w:val="center"/>
        </w:trPr>
        <w:tc>
          <w:tcPr>
            <w:tcW w:w="1129" w:type="dxa"/>
            <w:shd w:val="clear" w:color="auto" w:fill="auto"/>
          </w:tcPr>
          <w:p w14:paraId="0DE17399" w14:textId="28AF02F2" w:rsidR="00A265BC" w:rsidRPr="00D963AE" w:rsidRDefault="00690686" w:rsidP="00A265BC">
            <w:pPr>
              <w:spacing w:line="276" w:lineRule="auto"/>
              <w:jc w:val="both"/>
              <w:rPr>
                <w:rFonts w:ascii="Times New Roman" w:hAnsi="Times New Roman" w:cs="Times New Roman"/>
              </w:rPr>
            </w:pPr>
            <w:r>
              <w:rPr>
                <w:rFonts w:ascii="Times New Roman" w:hAnsi="Times New Roman" w:cs="Times New Roman"/>
              </w:rPr>
              <w:t>6.</w:t>
            </w:r>
          </w:p>
        </w:tc>
        <w:tc>
          <w:tcPr>
            <w:tcW w:w="7524" w:type="dxa"/>
          </w:tcPr>
          <w:p w14:paraId="1F3AD49A" w14:textId="77777777" w:rsidR="00A36F88" w:rsidRPr="00A36F88" w:rsidRDefault="00A36F88" w:rsidP="00A36F88">
            <w:pPr>
              <w:jc w:val="both"/>
              <w:rPr>
                <w:rFonts w:ascii="Times New Roman" w:hAnsi="Times New Roman" w:cs="Times New Roman"/>
              </w:rPr>
            </w:pPr>
            <w:r w:rsidRPr="00A36F88">
              <w:rPr>
                <w:rFonts w:ascii="Times New Roman" w:hAnsi="Times New Roman" w:cs="Times New Roman"/>
              </w:rPr>
              <w:t>Ettepanek 3.</w:t>
            </w:r>
          </w:p>
          <w:p w14:paraId="2EFAE067" w14:textId="77777777" w:rsidR="00A36F88" w:rsidRPr="00A36F88" w:rsidRDefault="00A36F88" w:rsidP="00A36F88">
            <w:pPr>
              <w:jc w:val="both"/>
              <w:rPr>
                <w:rFonts w:ascii="Times New Roman" w:hAnsi="Times New Roman" w:cs="Times New Roman"/>
              </w:rPr>
            </w:pPr>
            <w:r w:rsidRPr="00A36F88">
              <w:rPr>
                <w:rFonts w:ascii="Times New Roman" w:hAnsi="Times New Roman" w:cs="Times New Roman"/>
              </w:rPr>
              <w:t>Määruse eelnõu esitab üldised printsiibid inimeste tervise kaitse seisukohtadest, kuid jätab kahetsusväärselt katmata terve rea sisulisi aspekte, mis puudutavad üldist mitteioniseeriva kiirguse allikate ümbruse keskkonna kujundamist ja järelevalvet.</w:t>
            </w:r>
          </w:p>
          <w:p w14:paraId="697F9BB1" w14:textId="77777777" w:rsidR="00A36F88" w:rsidRPr="00A36F88" w:rsidRDefault="00A36F88" w:rsidP="00A36F88">
            <w:pPr>
              <w:jc w:val="both"/>
              <w:rPr>
                <w:rFonts w:ascii="Times New Roman" w:hAnsi="Times New Roman" w:cs="Times New Roman"/>
              </w:rPr>
            </w:pPr>
            <w:r w:rsidRPr="00A36F88">
              <w:rPr>
                <w:rFonts w:ascii="Times New Roman" w:hAnsi="Times New Roman" w:cs="Times New Roman"/>
              </w:rPr>
              <w:t>* Reguleerimata jääb mitteioniseeriva kiirguse allikate paigaldamise ja käitamise korraldamine, sh asjakohaste projekteerimis-, ehitus ja käidunõuete sisseviimine, mis ei võimalda esitada nõudeid ega korraldada tõhusat järelevalvet mitteioniseeriva kiirguse allikate kohta.</w:t>
            </w:r>
          </w:p>
          <w:p w14:paraId="5F84D20E" w14:textId="77777777" w:rsidR="00A36F88" w:rsidRPr="00A36F88" w:rsidRDefault="00A36F88" w:rsidP="00A36F88">
            <w:pPr>
              <w:jc w:val="both"/>
              <w:rPr>
                <w:rFonts w:ascii="Times New Roman" w:hAnsi="Times New Roman" w:cs="Times New Roman"/>
              </w:rPr>
            </w:pPr>
            <w:r w:rsidRPr="00A36F88">
              <w:rPr>
                <w:rFonts w:ascii="Times New Roman" w:hAnsi="Times New Roman" w:cs="Times New Roman"/>
              </w:rPr>
              <w:t>* Täiendavalt on korraldamata mitteioniseeriva kiirguse allikate info kättesaadavus ja sellega arvestamine planeerimisel, mis võib viia olukorrani, kus erinevad osapooled info puudumisel ehitavad mitteioniseeriva kiirguse allikad teineteisele lähestikku ja kujundavad kumulatiivselt piirnorme ületava olukorra.</w:t>
            </w:r>
          </w:p>
          <w:p w14:paraId="057B4D7D" w14:textId="77777777" w:rsidR="00A36F88" w:rsidRPr="00A36F88" w:rsidRDefault="00A36F88" w:rsidP="00A36F88">
            <w:pPr>
              <w:jc w:val="both"/>
              <w:rPr>
                <w:rFonts w:ascii="Times New Roman" w:hAnsi="Times New Roman" w:cs="Times New Roman"/>
              </w:rPr>
            </w:pPr>
            <w:r w:rsidRPr="00A36F88">
              <w:rPr>
                <w:rFonts w:ascii="Times New Roman" w:hAnsi="Times New Roman" w:cs="Times New Roman"/>
              </w:rPr>
              <w:lastRenderedPageBreak/>
              <w:t>Planeerimis- ja hindamistavade alane informeeritus ja konkreetsed soovitused sh omavalitsuse tasandil pakuksid märksa tõhusamad vahendid antud määruse eelnõu § 2 esitatud eesmärkide täitmiseks. Teeme ülaltoodule tuginevalt ettepaneku jätkata peale määruse eelnõu kehtestamist aktiivset tööd antud teemadel, eesmärgiga tagada loetletud puuduste likvideerimine. Tallinna Tehnikaülikool on kirjeldatud teemadel valmis ulatuslikuks koostööks Sotsiaalministeeriumiga.</w:t>
            </w:r>
          </w:p>
          <w:p w14:paraId="1D1C7433" w14:textId="66586530" w:rsidR="00A265BC" w:rsidRPr="00D963AE" w:rsidRDefault="00A36F88" w:rsidP="00A36F88">
            <w:pPr>
              <w:jc w:val="both"/>
              <w:rPr>
                <w:rFonts w:ascii="Times New Roman" w:hAnsi="Times New Roman" w:cs="Times New Roman"/>
              </w:rPr>
            </w:pPr>
            <w:r w:rsidRPr="00A36F88">
              <w:rPr>
                <w:rFonts w:ascii="Times New Roman" w:hAnsi="Times New Roman" w:cs="Times New Roman"/>
              </w:rPr>
              <w:t>Loodame, et saate meie poolt esitatud seisukohad arvesse võtta ja nendele tuginedes viia sisse määruse muudatused, mis aitaksid parandada määruse eesmärgiks olevat ülesannete saavutamist, eeskätt tervisele ohutuse tagamist.</w:t>
            </w:r>
          </w:p>
        </w:tc>
        <w:tc>
          <w:tcPr>
            <w:tcW w:w="5676" w:type="dxa"/>
          </w:tcPr>
          <w:p w14:paraId="67A2842B" w14:textId="43A9F1C2" w:rsidR="00A265BC" w:rsidRPr="00D963AE" w:rsidRDefault="00E04680" w:rsidP="00A265BC">
            <w:pPr>
              <w:spacing w:line="276" w:lineRule="auto"/>
              <w:jc w:val="both"/>
              <w:rPr>
                <w:rFonts w:ascii="Times New Roman" w:hAnsi="Times New Roman" w:cs="Times New Roman"/>
                <w:b/>
                <w:bCs/>
              </w:rPr>
            </w:pPr>
            <w:r>
              <w:rPr>
                <w:rFonts w:ascii="Times New Roman" w:hAnsi="Times New Roman" w:cs="Times New Roman"/>
                <w:b/>
                <w:bCs/>
              </w:rPr>
              <w:lastRenderedPageBreak/>
              <w:t>Arvestatud.</w:t>
            </w:r>
            <w:r w:rsidR="00A9376F">
              <w:rPr>
                <w:rFonts w:ascii="Times New Roman" w:hAnsi="Times New Roman" w:cs="Times New Roman"/>
                <w:b/>
                <w:bCs/>
              </w:rPr>
              <w:t xml:space="preserve"> </w:t>
            </w:r>
            <w:r w:rsidR="00A9376F" w:rsidRPr="00A9376F">
              <w:rPr>
                <w:rFonts w:ascii="Times New Roman" w:hAnsi="Times New Roman" w:cs="Times New Roman"/>
              </w:rPr>
              <w:t>Oleme nimetatud teemade olulisusest teadlikud ning</w:t>
            </w:r>
            <w:r>
              <w:rPr>
                <w:rFonts w:ascii="Times New Roman" w:hAnsi="Times New Roman" w:cs="Times New Roman"/>
                <w:b/>
                <w:bCs/>
              </w:rPr>
              <w:t xml:space="preserve"> </w:t>
            </w:r>
            <w:r w:rsidR="00A9376F" w:rsidRPr="00A9376F">
              <w:rPr>
                <w:rFonts w:ascii="Times New Roman" w:hAnsi="Times New Roman" w:cs="Times New Roman"/>
              </w:rPr>
              <w:t>k</w:t>
            </w:r>
            <w:r w:rsidRPr="00AB0C16">
              <w:rPr>
                <w:rFonts w:ascii="Times New Roman" w:hAnsi="Times New Roman" w:cs="Times New Roman"/>
              </w:rPr>
              <w:t>oostöö</w:t>
            </w:r>
            <w:r w:rsidR="00AB0C16" w:rsidRPr="00AB0C16">
              <w:rPr>
                <w:rFonts w:ascii="Times New Roman" w:hAnsi="Times New Roman" w:cs="Times New Roman"/>
              </w:rPr>
              <w:t xml:space="preserve"> asjaomaste osapoolte ja teadusasutustega (sh </w:t>
            </w:r>
            <w:proofErr w:type="spellStart"/>
            <w:r w:rsidR="00AB0C16" w:rsidRPr="00AB0C16">
              <w:rPr>
                <w:rFonts w:ascii="Times New Roman" w:hAnsi="Times New Roman" w:cs="Times New Roman"/>
              </w:rPr>
              <w:t>Taltech</w:t>
            </w:r>
            <w:proofErr w:type="spellEnd"/>
            <w:r w:rsidR="00AB0C16" w:rsidRPr="00AB0C16">
              <w:rPr>
                <w:rFonts w:ascii="Times New Roman" w:hAnsi="Times New Roman" w:cs="Times New Roman"/>
              </w:rPr>
              <w:t>) kindlasti jätkub ning laiemalt kui ainult käesoleva määruse</w:t>
            </w:r>
            <w:r w:rsidR="00A327BE">
              <w:rPr>
                <w:rFonts w:ascii="Times New Roman" w:hAnsi="Times New Roman" w:cs="Times New Roman"/>
              </w:rPr>
              <w:t xml:space="preserve"> </w:t>
            </w:r>
            <w:r w:rsidR="00325535">
              <w:rPr>
                <w:rFonts w:ascii="Times New Roman" w:hAnsi="Times New Roman" w:cs="Times New Roman"/>
              </w:rPr>
              <w:t>reguleerimisala</w:t>
            </w:r>
            <w:r w:rsidR="00A327BE">
              <w:rPr>
                <w:rFonts w:ascii="Times New Roman" w:hAnsi="Times New Roman" w:cs="Times New Roman"/>
              </w:rPr>
              <w:t xml:space="preserve"> mõistes</w:t>
            </w:r>
            <w:r w:rsidR="00AC3D2A">
              <w:rPr>
                <w:rFonts w:ascii="Times New Roman" w:hAnsi="Times New Roman" w:cs="Times New Roman"/>
              </w:rPr>
              <w:t xml:space="preserve"> (näiteks elektroonilise side seaduse kontekstis)</w:t>
            </w:r>
            <w:r w:rsidR="00AB0C16" w:rsidRPr="00AB0C16">
              <w:rPr>
                <w:rFonts w:ascii="Times New Roman" w:hAnsi="Times New Roman" w:cs="Times New Roman"/>
              </w:rPr>
              <w:t>.</w:t>
            </w:r>
          </w:p>
        </w:tc>
      </w:tr>
      <w:tr w:rsidR="00A265BC" w:rsidRPr="00D963AE" w14:paraId="621F2AF5" w14:textId="77777777" w:rsidTr="14A94AAC">
        <w:trPr>
          <w:jc w:val="center"/>
        </w:trPr>
        <w:tc>
          <w:tcPr>
            <w:tcW w:w="1129" w:type="dxa"/>
            <w:shd w:val="clear" w:color="auto" w:fill="auto"/>
          </w:tcPr>
          <w:p w14:paraId="58D3D803" w14:textId="241CB5D1" w:rsidR="00A265BC" w:rsidRPr="00D963AE" w:rsidRDefault="00A265BC" w:rsidP="00A265BC">
            <w:pPr>
              <w:spacing w:line="276" w:lineRule="auto"/>
              <w:jc w:val="both"/>
              <w:rPr>
                <w:rFonts w:ascii="Times New Roman" w:hAnsi="Times New Roman" w:cs="Times New Roman"/>
              </w:rPr>
            </w:pPr>
          </w:p>
        </w:tc>
        <w:tc>
          <w:tcPr>
            <w:tcW w:w="7524" w:type="dxa"/>
          </w:tcPr>
          <w:p w14:paraId="7CE47749" w14:textId="77777777" w:rsidR="00A265BC" w:rsidRPr="00C1740A" w:rsidRDefault="00A265BC" w:rsidP="00A265BC">
            <w:pPr>
              <w:jc w:val="both"/>
              <w:rPr>
                <w:rFonts w:ascii="Arial" w:eastAsia="Calibri" w:hAnsi="Arial" w:cs="Arial"/>
                <w:b/>
                <w:bCs/>
                <w:sz w:val="20"/>
                <w:szCs w:val="20"/>
              </w:rPr>
            </w:pPr>
          </w:p>
          <w:p w14:paraId="5212E0E0" w14:textId="5D25FA09" w:rsidR="00A265BC" w:rsidRPr="00D963AE" w:rsidRDefault="00A265BC" w:rsidP="00A265BC">
            <w:pPr>
              <w:jc w:val="both"/>
              <w:rPr>
                <w:rFonts w:ascii="Times New Roman" w:hAnsi="Times New Roman" w:cs="Times New Roman"/>
              </w:rPr>
            </w:pPr>
            <w:r w:rsidRPr="00C1740A">
              <w:rPr>
                <w:rFonts w:ascii="Arial" w:eastAsia="Calibri" w:hAnsi="Arial" w:cs="Arial"/>
                <w:b/>
                <w:bCs/>
                <w:sz w:val="20"/>
                <w:szCs w:val="20"/>
              </w:rPr>
              <w:t xml:space="preserve"> Eesti Infotehnoloogia ja Telekommunikatsiooni Lii</w:t>
            </w:r>
            <w:r>
              <w:rPr>
                <w:rFonts w:ascii="Arial" w:eastAsia="Calibri" w:hAnsi="Arial" w:cs="Arial"/>
                <w:b/>
                <w:bCs/>
                <w:sz w:val="20"/>
                <w:szCs w:val="20"/>
              </w:rPr>
              <w:t>t</w:t>
            </w:r>
          </w:p>
        </w:tc>
        <w:tc>
          <w:tcPr>
            <w:tcW w:w="5676" w:type="dxa"/>
          </w:tcPr>
          <w:p w14:paraId="3949DFE5" w14:textId="7FD79DE8" w:rsidR="00A265BC" w:rsidRPr="00D963AE" w:rsidRDefault="00A265BC" w:rsidP="00A265BC">
            <w:pPr>
              <w:spacing w:line="276" w:lineRule="auto"/>
              <w:jc w:val="both"/>
              <w:rPr>
                <w:rFonts w:ascii="Times New Roman" w:hAnsi="Times New Roman" w:cs="Times New Roman"/>
                <w:b/>
                <w:bCs/>
              </w:rPr>
            </w:pPr>
          </w:p>
        </w:tc>
      </w:tr>
      <w:tr w:rsidR="00A265BC" w:rsidRPr="00D963AE" w14:paraId="13EA7987" w14:textId="77777777" w:rsidTr="14A94AAC">
        <w:trPr>
          <w:jc w:val="center"/>
        </w:trPr>
        <w:tc>
          <w:tcPr>
            <w:tcW w:w="1129" w:type="dxa"/>
            <w:shd w:val="clear" w:color="auto" w:fill="auto"/>
          </w:tcPr>
          <w:p w14:paraId="72ADA0C7" w14:textId="27964084" w:rsidR="00A265BC" w:rsidRPr="00D963AE" w:rsidRDefault="00B55941" w:rsidP="00A265BC">
            <w:pPr>
              <w:spacing w:line="276" w:lineRule="auto"/>
              <w:jc w:val="both"/>
              <w:rPr>
                <w:rFonts w:ascii="Times New Roman" w:hAnsi="Times New Roman" w:cs="Times New Roman"/>
              </w:rPr>
            </w:pPr>
            <w:r>
              <w:rPr>
                <w:rFonts w:ascii="Times New Roman" w:hAnsi="Times New Roman" w:cs="Times New Roman"/>
              </w:rPr>
              <w:t>7.</w:t>
            </w:r>
          </w:p>
        </w:tc>
        <w:tc>
          <w:tcPr>
            <w:tcW w:w="7524" w:type="dxa"/>
          </w:tcPr>
          <w:p w14:paraId="04F4157D" w14:textId="77777777" w:rsidR="00A265BC" w:rsidRPr="004031AF" w:rsidRDefault="00A265BC" w:rsidP="00B55941">
            <w:pPr>
              <w:jc w:val="both"/>
              <w:rPr>
                <w:rFonts w:ascii="Times New Roman" w:hAnsi="Times New Roman" w:cs="Times New Roman"/>
              </w:rPr>
            </w:pPr>
            <w:r w:rsidRPr="004031AF">
              <w:rPr>
                <w:rFonts w:ascii="Times New Roman" w:hAnsi="Times New Roman" w:cs="Times New Roman"/>
              </w:rPr>
              <w:t xml:space="preserve">Kiirgusallika ohutsooni tõkestamine </w:t>
            </w:r>
          </w:p>
          <w:p w14:paraId="22E91D26" w14:textId="77777777" w:rsidR="00A265BC" w:rsidRPr="004031AF" w:rsidRDefault="00A265BC" w:rsidP="00A265BC">
            <w:pPr>
              <w:jc w:val="both"/>
              <w:rPr>
                <w:rFonts w:ascii="Times New Roman" w:hAnsi="Times New Roman" w:cs="Times New Roman"/>
              </w:rPr>
            </w:pPr>
            <w:r w:rsidRPr="004031AF">
              <w:rPr>
                <w:rFonts w:ascii="Times New Roman" w:hAnsi="Times New Roman" w:cs="Times New Roman"/>
              </w:rPr>
              <w:t xml:space="preserve">Eelnõu § 5 lg 6 sätestab järgmist: </w:t>
            </w:r>
          </w:p>
          <w:p w14:paraId="67C77C9E" w14:textId="77777777" w:rsidR="00080305" w:rsidRDefault="00A265BC" w:rsidP="00A265BC">
            <w:pPr>
              <w:jc w:val="both"/>
              <w:rPr>
                <w:rFonts w:ascii="Times New Roman" w:hAnsi="Times New Roman" w:cs="Times New Roman"/>
              </w:rPr>
            </w:pPr>
            <w:r w:rsidRPr="004031AF">
              <w:rPr>
                <w:rFonts w:ascii="Times New Roman" w:hAnsi="Times New Roman" w:cs="Times New Roman"/>
              </w:rPr>
              <w:t>„</w:t>
            </w:r>
            <w:r w:rsidRPr="004031AF">
              <w:rPr>
                <w:rFonts w:ascii="Times New Roman" w:hAnsi="Times New Roman" w:cs="Times New Roman"/>
                <w:i/>
                <w:iCs/>
              </w:rPr>
              <w:t>Kõrvaliste isikute pääs kiirgusallika ohutsooni või viibimine seal peab olema tõkestatud vastava juurdepääsupiirangu ja ohumärgistusega</w:t>
            </w:r>
            <w:r w:rsidRPr="004031AF">
              <w:rPr>
                <w:rFonts w:ascii="Times New Roman" w:hAnsi="Times New Roman" w:cs="Times New Roman"/>
              </w:rPr>
              <w:t>.“</w:t>
            </w:r>
          </w:p>
          <w:p w14:paraId="6410123E" w14:textId="0DE365DD" w:rsidR="00A265BC" w:rsidRPr="004031AF" w:rsidRDefault="00A265BC" w:rsidP="00A265BC">
            <w:pPr>
              <w:jc w:val="both"/>
              <w:rPr>
                <w:rFonts w:ascii="Times New Roman" w:hAnsi="Times New Roman" w:cs="Times New Roman"/>
              </w:rPr>
            </w:pPr>
            <w:r w:rsidRPr="004031AF">
              <w:rPr>
                <w:rFonts w:ascii="Times New Roman" w:hAnsi="Times New Roman" w:cs="Times New Roman"/>
              </w:rPr>
              <w:t xml:space="preserve"> </w:t>
            </w:r>
          </w:p>
          <w:p w14:paraId="2C65BC3E" w14:textId="77777777" w:rsidR="00080305" w:rsidRDefault="00A265BC" w:rsidP="00A265BC">
            <w:pPr>
              <w:jc w:val="both"/>
              <w:rPr>
                <w:rFonts w:ascii="Times New Roman" w:hAnsi="Times New Roman" w:cs="Times New Roman"/>
              </w:rPr>
            </w:pPr>
            <w:r w:rsidRPr="00080305">
              <w:rPr>
                <w:rFonts w:ascii="Times New Roman" w:hAnsi="Times New Roman" w:cs="Times New Roman"/>
              </w:rPr>
              <w:t>1.1 ITL teeb ettepaneku jätta § 5 lg 6 ja seonduvalt § 6 lõiked 2-3 eelnõust välja.</w:t>
            </w:r>
          </w:p>
          <w:p w14:paraId="5798D3C0" w14:textId="6B04A61E" w:rsidR="00A265BC" w:rsidRPr="00080305" w:rsidRDefault="00A265BC" w:rsidP="00A265BC">
            <w:pPr>
              <w:jc w:val="both"/>
              <w:rPr>
                <w:rFonts w:ascii="Times New Roman" w:hAnsi="Times New Roman" w:cs="Times New Roman"/>
              </w:rPr>
            </w:pPr>
            <w:r w:rsidRPr="00080305">
              <w:rPr>
                <w:rFonts w:ascii="Times New Roman" w:hAnsi="Times New Roman" w:cs="Times New Roman"/>
              </w:rPr>
              <w:t xml:space="preserve"> </w:t>
            </w:r>
          </w:p>
          <w:p w14:paraId="1D0056ED" w14:textId="77777777" w:rsidR="00A265BC" w:rsidRPr="004031AF" w:rsidRDefault="00A265BC" w:rsidP="00A265BC">
            <w:pPr>
              <w:jc w:val="both"/>
              <w:rPr>
                <w:rFonts w:ascii="Times New Roman" w:hAnsi="Times New Roman" w:cs="Times New Roman"/>
              </w:rPr>
            </w:pPr>
            <w:r w:rsidRPr="004031AF">
              <w:rPr>
                <w:rFonts w:ascii="Times New Roman" w:hAnsi="Times New Roman" w:cs="Times New Roman"/>
              </w:rPr>
              <w:t xml:space="preserve">Põhjendame oma arvamust järgmiselt: </w:t>
            </w:r>
          </w:p>
          <w:p w14:paraId="31138456" w14:textId="77777777" w:rsidR="00A265BC" w:rsidRPr="004031AF" w:rsidRDefault="00A265BC" w:rsidP="00A265BC">
            <w:pPr>
              <w:jc w:val="both"/>
              <w:rPr>
                <w:rFonts w:ascii="Times New Roman" w:hAnsi="Times New Roman" w:cs="Times New Roman"/>
              </w:rPr>
            </w:pPr>
            <w:r w:rsidRPr="004031AF">
              <w:rPr>
                <w:rFonts w:ascii="Times New Roman" w:hAnsi="Times New Roman" w:cs="Times New Roman"/>
              </w:rPr>
              <w:t xml:space="preserve">Erinevalt teistest riikidest tuleb täna Eestis iga raadioseadme paigaldamine kooskõlastada Terviseametiga. Igal seadmel on sõltuvalt antennitüübist, kasutatavast võimsusest ja muust oma ohutsoon ning selle ulatus, mille osas kehtestatakse Terviseameti kooskõlastusega juba täpsemad tingimused ja nõuded. </w:t>
            </w:r>
          </w:p>
          <w:p w14:paraId="54C8A099" w14:textId="77777777" w:rsidR="00A265BC" w:rsidRPr="004031AF" w:rsidRDefault="00A265BC" w:rsidP="00A265BC">
            <w:pPr>
              <w:jc w:val="both"/>
              <w:rPr>
                <w:rFonts w:ascii="Times New Roman" w:hAnsi="Times New Roman" w:cs="Times New Roman"/>
              </w:rPr>
            </w:pPr>
            <w:r w:rsidRPr="004031AF">
              <w:rPr>
                <w:rFonts w:ascii="Times New Roman" w:hAnsi="Times New Roman" w:cs="Times New Roman"/>
              </w:rPr>
              <w:t xml:space="preserve">Terviseameti kooskõlastus raadiosageduste kasutamiseks antakse üldjuhul järgmistel tingimusel, kui: </w:t>
            </w:r>
          </w:p>
          <w:p w14:paraId="2FC5E0C1" w14:textId="77777777" w:rsidR="00A265BC" w:rsidRPr="004031AF" w:rsidRDefault="00A265BC" w:rsidP="00A265BC">
            <w:pPr>
              <w:numPr>
                <w:ilvl w:val="0"/>
                <w:numId w:val="47"/>
              </w:numPr>
              <w:jc w:val="both"/>
              <w:rPr>
                <w:rFonts w:ascii="Times New Roman" w:hAnsi="Times New Roman" w:cs="Times New Roman"/>
              </w:rPr>
            </w:pPr>
            <w:r w:rsidRPr="004031AF">
              <w:rPr>
                <w:rFonts w:ascii="Times New Roman" w:hAnsi="Times New Roman" w:cs="Times New Roman"/>
              </w:rPr>
              <w:t xml:space="preserve">tagatakse, et kõrvalised isikud ei viibi peakiire suunas antennile lähemal kui x m; </w:t>
            </w:r>
          </w:p>
          <w:p w14:paraId="554C176A" w14:textId="77777777" w:rsidR="00A265BC" w:rsidRPr="004031AF" w:rsidRDefault="00A265BC" w:rsidP="00A265BC">
            <w:pPr>
              <w:numPr>
                <w:ilvl w:val="0"/>
                <w:numId w:val="47"/>
              </w:numPr>
              <w:jc w:val="both"/>
              <w:rPr>
                <w:rFonts w:ascii="Times New Roman" w:hAnsi="Times New Roman" w:cs="Times New Roman"/>
              </w:rPr>
            </w:pPr>
            <w:r w:rsidRPr="004031AF">
              <w:rPr>
                <w:rFonts w:ascii="Times New Roman" w:hAnsi="Times New Roman" w:cs="Times New Roman"/>
              </w:rPr>
              <w:t xml:space="preserve">saatejaama aparatuur ja kaablid on varjestatud ning maandatud. </w:t>
            </w:r>
          </w:p>
          <w:p w14:paraId="632B2C66" w14:textId="77777777" w:rsidR="00A265BC" w:rsidRPr="004031AF" w:rsidRDefault="00A265BC" w:rsidP="00A265BC">
            <w:pPr>
              <w:jc w:val="both"/>
              <w:rPr>
                <w:rFonts w:ascii="Times New Roman" w:hAnsi="Times New Roman" w:cs="Times New Roman"/>
              </w:rPr>
            </w:pPr>
          </w:p>
          <w:p w14:paraId="5D82BDE4" w14:textId="77777777" w:rsidR="00A265BC" w:rsidRPr="00CD244E" w:rsidRDefault="00A265BC" w:rsidP="00A265BC">
            <w:pPr>
              <w:jc w:val="both"/>
              <w:rPr>
                <w:rFonts w:ascii="Times New Roman" w:hAnsi="Times New Roman" w:cs="Times New Roman"/>
              </w:rPr>
            </w:pPr>
            <w:r w:rsidRPr="004031AF">
              <w:rPr>
                <w:rFonts w:ascii="Times New Roman" w:hAnsi="Times New Roman" w:cs="Times New Roman"/>
              </w:rPr>
              <w:t>Täna on üldjuhul antennid paigaldatud viisil, et ohutsoon pinnale üldse ei ulatu ning sellega seoses puudub vajadus täiendava märgistuse või tähistuse järele. Seega praktikat arvestades on see pigem erandlik olukord, kus ohutsooni vaja piirata või märgistust panna. Eelnõu § 5 lg 6 aga jätab mulje, et juurdepääsupiirang ja märgistus peavad iga kord olema.</w:t>
            </w:r>
            <w:r>
              <w:rPr>
                <w:rFonts w:ascii="Times New Roman" w:hAnsi="Times New Roman" w:cs="Times New Roman"/>
              </w:rPr>
              <w:t xml:space="preserve"> </w:t>
            </w:r>
            <w:r w:rsidRPr="00CD244E">
              <w:rPr>
                <w:rFonts w:ascii="Times New Roman" w:hAnsi="Times New Roman" w:cs="Times New Roman"/>
              </w:rPr>
              <w:t xml:space="preserve">Seepärast oleme seisukohal, et puudub vajadus veel </w:t>
            </w:r>
            <w:r w:rsidRPr="00CD244E">
              <w:rPr>
                <w:rFonts w:ascii="Times New Roman" w:hAnsi="Times New Roman" w:cs="Times New Roman"/>
              </w:rPr>
              <w:lastRenderedPageBreak/>
              <w:t xml:space="preserve">täiendava üldsõnalise ohutsooni piiramise ja märgistamise nõude lisamiseks õigusakti. Piisab tänastest tingimustest, mis antakse Terviseameti kooskõlastusega konkreetsest seadmest tulenevalt. </w:t>
            </w:r>
          </w:p>
          <w:p w14:paraId="09FDF532" w14:textId="7BBBACEA" w:rsidR="00A265BC" w:rsidRPr="00D963AE" w:rsidRDefault="00A265BC" w:rsidP="00A265BC">
            <w:pPr>
              <w:jc w:val="both"/>
              <w:rPr>
                <w:rFonts w:ascii="Times New Roman" w:hAnsi="Times New Roman" w:cs="Times New Roman"/>
              </w:rPr>
            </w:pPr>
            <w:r w:rsidRPr="00CD244E">
              <w:rPr>
                <w:rFonts w:ascii="Times New Roman" w:hAnsi="Times New Roman" w:cs="Times New Roman"/>
              </w:rPr>
              <w:t>Eelnõu § 5 lõikes 6 sisalduv kohustus tooks kaasa täiendavat halduskoormust ja dubleerivaid tegevusi sellega, et kõik tänased antennide paiknemiskohad tuleb üle vaadata ning hinnata nende vastavust uuest kohustusest tulenevalt ning luua selleks iga antenni kohta 3D mudelina modelleeritud ohutsooni. Kuigi täna kehtivad ennetavad meetmed (Terviseameti kooskõlastuse tingimused) on juba ette näinud antenni paigaldamist ohutsooni pindadele ulatumist välistaval viisil. Lisame, et meile teadaolevalt ei ole üheski teises lähiriigis (nt Skandinaavia riigid) seda laadi ohutsooni juurdepääsupiirangute kohustust antennide paigaldamisele kehtestatud.</w:t>
            </w:r>
          </w:p>
        </w:tc>
        <w:tc>
          <w:tcPr>
            <w:tcW w:w="5676" w:type="dxa"/>
          </w:tcPr>
          <w:p w14:paraId="3CDB93F7" w14:textId="77777777" w:rsidR="00D12F77" w:rsidRDefault="00A91000" w:rsidP="00A265BC">
            <w:pPr>
              <w:spacing w:line="276" w:lineRule="auto"/>
              <w:jc w:val="both"/>
              <w:rPr>
                <w:rFonts w:ascii="Times New Roman" w:hAnsi="Times New Roman" w:cs="Times New Roman"/>
                <w:b/>
                <w:bCs/>
              </w:rPr>
            </w:pPr>
            <w:r w:rsidRPr="00515519">
              <w:rPr>
                <w:rFonts w:ascii="Times New Roman" w:hAnsi="Times New Roman" w:cs="Times New Roman"/>
                <w:b/>
                <w:bCs/>
              </w:rPr>
              <w:lastRenderedPageBreak/>
              <w:t>Mittearvestatud.</w:t>
            </w:r>
          </w:p>
          <w:p w14:paraId="104C365C" w14:textId="3075BE0F" w:rsidR="00DE55BA" w:rsidRPr="00515519" w:rsidRDefault="00A91000" w:rsidP="00A265BC">
            <w:pPr>
              <w:spacing w:line="276" w:lineRule="auto"/>
              <w:jc w:val="both"/>
              <w:rPr>
                <w:rFonts w:ascii="Times New Roman" w:hAnsi="Times New Roman" w:cs="Times New Roman"/>
              </w:rPr>
            </w:pPr>
            <w:r w:rsidRPr="00515519">
              <w:rPr>
                <w:rFonts w:ascii="Times New Roman" w:hAnsi="Times New Roman" w:cs="Times New Roman"/>
              </w:rPr>
              <w:t xml:space="preserve"> </w:t>
            </w:r>
            <w:r w:rsidR="00DE55BA" w:rsidRPr="00515519">
              <w:rPr>
                <w:rFonts w:ascii="Times New Roman" w:hAnsi="Times New Roman" w:cs="Times New Roman"/>
              </w:rPr>
              <w:br/>
              <w:t>Nagu seletuskirjas märgitud, ei ole tegemist ainult erandlike olukordadeg</w:t>
            </w:r>
            <w:r w:rsidR="00F14E77" w:rsidRPr="00515519">
              <w:rPr>
                <w:rFonts w:ascii="Times New Roman" w:hAnsi="Times New Roman" w:cs="Times New Roman"/>
              </w:rPr>
              <w:t xml:space="preserve">a. </w:t>
            </w:r>
            <w:r w:rsidR="00080305">
              <w:rPr>
                <w:rFonts w:ascii="Times New Roman" w:hAnsi="Times New Roman" w:cs="Times New Roman"/>
              </w:rPr>
              <w:t>Mobiilside tugijaamad</w:t>
            </w:r>
            <w:r w:rsidR="00D12F77">
              <w:rPr>
                <w:rFonts w:ascii="Times New Roman" w:hAnsi="Times New Roman" w:cs="Times New Roman"/>
              </w:rPr>
              <w:t xml:space="preserve"> jt allikad</w:t>
            </w:r>
            <w:r w:rsidR="00F14E77" w:rsidRPr="00515519">
              <w:rPr>
                <w:rFonts w:ascii="Times New Roman" w:hAnsi="Times New Roman" w:cs="Times New Roman"/>
              </w:rPr>
              <w:t xml:space="preserve"> ei ole alati paigaldatud viisil, et ohutsoon pinnale üldse ei ulatu.</w:t>
            </w:r>
            <w:r w:rsidR="004C1A73" w:rsidRPr="00515519">
              <w:rPr>
                <w:rFonts w:ascii="Times New Roman" w:hAnsi="Times New Roman" w:cs="Times New Roman"/>
              </w:rPr>
              <w:t xml:space="preserve"> Nõude vajadus tulebki praktilistest olukordadest, kus inimesed tihti ohutsooni sattuda võivad</w:t>
            </w:r>
            <w:r w:rsidR="00505876" w:rsidRPr="00515519">
              <w:rPr>
                <w:rFonts w:ascii="Times New Roman" w:hAnsi="Times New Roman" w:cs="Times New Roman"/>
              </w:rPr>
              <w:t xml:space="preserve"> teadlikult või enesele teadmata</w:t>
            </w:r>
            <w:r w:rsidR="004C1A73" w:rsidRPr="00515519">
              <w:rPr>
                <w:rFonts w:ascii="Times New Roman" w:hAnsi="Times New Roman" w:cs="Times New Roman"/>
              </w:rPr>
              <w:t>.</w:t>
            </w:r>
            <w:r w:rsidR="00562457" w:rsidRPr="00515519">
              <w:rPr>
                <w:rFonts w:ascii="Times New Roman" w:hAnsi="Times New Roman" w:cs="Times New Roman"/>
              </w:rPr>
              <w:t xml:space="preserve"> Nagu ka seletuskirjas täpsustatud, tuleb igale olukorrale läheneda individuaalselt – alati </w:t>
            </w:r>
            <w:r w:rsidR="00655849" w:rsidRPr="00515519">
              <w:rPr>
                <w:rFonts w:ascii="Times New Roman" w:hAnsi="Times New Roman" w:cs="Times New Roman"/>
              </w:rPr>
              <w:t>ei ole vaja sätet</w:t>
            </w:r>
            <w:r w:rsidR="00255626" w:rsidRPr="00515519">
              <w:rPr>
                <w:rFonts w:ascii="Times New Roman" w:hAnsi="Times New Roman" w:cs="Times New Roman"/>
              </w:rPr>
              <w:t xml:space="preserve"> täielikult</w:t>
            </w:r>
            <w:r w:rsidR="00655849" w:rsidRPr="00515519">
              <w:rPr>
                <w:rFonts w:ascii="Times New Roman" w:hAnsi="Times New Roman" w:cs="Times New Roman"/>
              </w:rPr>
              <w:t xml:space="preserve"> rakendada.</w:t>
            </w:r>
          </w:p>
          <w:p w14:paraId="1C18E071" w14:textId="77777777" w:rsidR="00C71045" w:rsidRDefault="00C71045" w:rsidP="00A265BC">
            <w:pPr>
              <w:spacing w:line="276" w:lineRule="auto"/>
              <w:jc w:val="both"/>
              <w:rPr>
                <w:rFonts w:ascii="Times New Roman" w:hAnsi="Times New Roman" w:cs="Times New Roman"/>
              </w:rPr>
            </w:pPr>
          </w:p>
          <w:p w14:paraId="76E0B48A" w14:textId="1B36B05F" w:rsidR="00655849" w:rsidRDefault="00255626" w:rsidP="00A265BC">
            <w:pPr>
              <w:spacing w:line="276" w:lineRule="auto"/>
              <w:jc w:val="both"/>
              <w:rPr>
                <w:rFonts w:ascii="Times New Roman" w:hAnsi="Times New Roman" w:cs="Times New Roman"/>
              </w:rPr>
            </w:pPr>
            <w:r w:rsidRPr="00515519">
              <w:rPr>
                <w:rFonts w:ascii="Times New Roman" w:hAnsi="Times New Roman" w:cs="Times New Roman"/>
              </w:rPr>
              <w:t>Halduskoormust on kirjeldatud seletuskirjas.</w:t>
            </w:r>
          </w:p>
          <w:p w14:paraId="1706BC34" w14:textId="77777777" w:rsidR="005C15D3" w:rsidRDefault="005C15D3" w:rsidP="00A265BC">
            <w:pPr>
              <w:spacing w:line="276" w:lineRule="auto"/>
              <w:jc w:val="both"/>
              <w:rPr>
                <w:rFonts w:ascii="Times New Roman" w:hAnsi="Times New Roman" w:cs="Times New Roman"/>
              </w:rPr>
            </w:pPr>
          </w:p>
          <w:p w14:paraId="2D2B5917" w14:textId="16724274" w:rsidR="005C15D3" w:rsidRPr="00515519" w:rsidRDefault="00554A5A" w:rsidP="005C15D3">
            <w:pPr>
              <w:spacing w:line="276" w:lineRule="auto"/>
              <w:jc w:val="both"/>
              <w:rPr>
                <w:rFonts w:ascii="Times New Roman" w:hAnsi="Times New Roman" w:cs="Times New Roman"/>
              </w:rPr>
            </w:pPr>
            <w:r>
              <w:rPr>
                <w:rFonts w:ascii="Times New Roman" w:hAnsi="Times New Roman" w:cs="Times New Roman"/>
              </w:rPr>
              <w:t>Juhtudel, kus</w:t>
            </w:r>
            <w:r w:rsidR="005C15D3">
              <w:rPr>
                <w:rFonts w:ascii="Times New Roman" w:hAnsi="Times New Roman" w:cs="Times New Roman"/>
              </w:rPr>
              <w:t xml:space="preserve"> täna kehtinud ennetavad meetmed on juba ette näinud antenni paigaldamise ohutsooni pindadele ulatumist vältival viisil, siis selle veendumuse olemasolul topelt tööd</w:t>
            </w:r>
            <w:r>
              <w:rPr>
                <w:rFonts w:ascii="Times New Roman" w:hAnsi="Times New Roman" w:cs="Times New Roman"/>
              </w:rPr>
              <w:t xml:space="preserve"> juurdepääsu takistamiseks</w:t>
            </w:r>
            <w:r w:rsidR="005C15D3">
              <w:rPr>
                <w:rFonts w:ascii="Times New Roman" w:hAnsi="Times New Roman" w:cs="Times New Roman"/>
              </w:rPr>
              <w:t xml:space="preserve"> tegema ei pea (kui vahepeal pole seatud üles võimsamaid antenne või muudetud olemasolevate kiirgusvõimsust).</w:t>
            </w:r>
          </w:p>
          <w:p w14:paraId="506426A5" w14:textId="77777777" w:rsidR="005C15D3" w:rsidRPr="00515519" w:rsidRDefault="005C15D3" w:rsidP="00A265BC">
            <w:pPr>
              <w:spacing w:line="276" w:lineRule="auto"/>
              <w:jc w:val="both"/>
              <w:rPr>
                <w:rFonts w:ascii="Times New Roman" w:hAnsi="Times New Roman" w:cs="Times New Roman"/>
              </w:rPr>
            </w:pPr>
          </w:p>
          <w:p w14:paraId="1B72B36D" w14:textId="41009ABA" w:rsidR="00FC0C08" w:rsidRDefault="000BF19F" w:rsidP="14A94AAC">
            <w:pPr>
              <w:spacing w:line="276" w:lineRule="auto"/>
              <w:jc w:val="both"/>
              <w:rPr>
                <w:rFonts w:ascii="Times New Roman" w:hAnsi="Times New Roman" w:cs="Times New Roman"/>
              </w:rPr>
            </w:pPr>
            <w:r w:rsidRPr="14A94AAC">
              <w:rPr>
                <w:rFonts w:ascii="Times New Roman" w:hAnsi="Times New Roman" w:cs="Times New Roman"/>
              </w:rPr>
              <w:lastRenderedPageBreak/>
              <w:t>Kuidas vastavust hinnata on operaatori otsustada</w:t>
            </w:r>
            <w:r w:rsidR="008A1B6F" w:rsidRPr="14A94AAC">
              <w:rPr>
                <w:rFonts w:ascii="Times New Roman" w:hAnsi="Times New Roman" w:cs="Times New Roman"/>
              </w:rPr>
              <w:t xml:space="preserve"> ja valik</w:t>
            </w:r>
            <w:r w:rsidRPr="14A94AAC">
              <w:rPr>
                <w:rFonts w:ascii="Times New Roman" w:hAnsi="Times New Roman" w:cs="Times New Roman"/>
              </w:rPr>
              <w:t xml:space="preserve">. </w:t>
            </w:r>
            <w:r w:rsidR="34B53D16" w:rsidRPr="14A94AAC">
              <w:rPr>
                <w:rFonts w:ascii="Times New Roman" w:hAnsi="Times New Roman" w:cs="Times New Roman"/>
              </w:rPr>
              <w:t>3D mudeli tegemine ei ole</w:t>
            </w:r>
            <w:r w:rsidR="364457EA" w:rsidRPr="14A94AAC">
              <w:rPr>
                <w:rFonts w:ascii="Times New Roman" w:hAnsi="Times New Roman" w:cs="Times New Roman"/>
              </w:rPr>
              <w:t xml:space="preserve"> alati</w:t>
            </w:r>
            <w:r w:rsidR="34B53D16" w:rsidRPr="14A94AAC">
              <w:rPr>
                <w:rFonts w:ascii="Times New Roman" w:hAnsi="Times New Roman" w:cs="Times New Roman"/>
              </w:rPr>
              <w:t xml:space="preserve"> vajalik, vaid piisab</w:t>
            </w:r>
            <w:r w:rsidR="21F741B9" w:rsidRPr="14A94AAC">
              <w:rPr>
                <w:rFonts w:ascii="Times New Roman" w:hAnsi="Times New Roman" w:cs="Times New Roman"/>
              </w:rPr>
              <w:t xml:space="preserve"> ka</w:t>
            </w:r>
            <w:r w:rsidR="34B53D16" w:rsidRPr="14A94AAC">
              <w:rPr>
                <w:rFonts w:ascii="Times New Roman" w:hAnsi="Times New Roman" w:cs="Times New Roman"/>
              </w:rPr>
              <w:t xml:space="preserve"> a</w:t>
            </w:r>
            <w:r w:rsidR="00507AF4" w:rsidRPr="14A94AAC">
              <w:rPr>
                <w:rFonts w:ascii="Times New Roman" w:hAnsi="Times New Roman" w:cs="Times New Roman"/>
              </w:rPr>
              <w:t>rvutuste tegemi</w:t>
            </w:r>
            <w:r w:rsidR="471EF200" w:rsidRPr="14A94AAC">
              <w:rPr>
                <w:rFonts w:ascii="Times New Roman" w:hAnsi="Times New Roman" w:cs="Times New Roman"/>
              </w:rPr>
              <w:t>sest</w:t>
            </w:r>
            <w:r w:rsidR="00B4062E" w:rsidRPr="14A94AAC">
              <w:rPr>
                <w:rFonts w:ascii="Times New Roman" w:hAnsi="Times New Roman" w:cs="Times New Roman"/>
              </w:rPr>
              <w:t>.</w:t>
            </w:r>
            <w:r w:rsidR="00FC0C08" w:rsidRPr="14A94AAC">
              <w:rPr>
                <w:rFonts w:ascii="Times New Roman" w:hAnsi="Times New Roman" w:cs="Times New Roman"/>
              </w:rPr>
              <w:t xml:space="preserve"> </w:t>
            </w:r>
            <w:r w:rsidR="44AFFA2C" w:rsidRPr="14A94AAC">
              <w:rPr>
                <w:rFonts w:ascii="Times New Roman" w:hAnsi="Times New Roman" w:cs="Times New Roman"/>
              </w:rPr>
              <w:t>Seni tehtud p</w:t>
            </w:r>
            <w:r w:rsidR="00FC0C08" w:rsidRPr="14A94AAC">
              <w:rPr>
                <w:rFonts w:ascii="Times New Roman" w:hAnsi="Times New Roman" w:cs="Times New Roman"/>
              </w:rPr>
              <w:t>eakiire ühe dimensiooni asemel kahe dimensiooni arvutamine ei tõsta halduskoormust oluliselt, kuna see on (nt Excelis) teostatav lihtne arvutus.</w:t>
            </w:r>
          </w:p>
          <w:p w14:paraId="0DF925A0" w14:textId="77777777" w:rsidR="00FC0C08" w:rsidRDefault="00FC0C08" w:rsidP="004E7765">
            <w:pPr>
              <w:spacing w:line="276" w:lineRule="auto"/>
              <w:jc w:val="both"/>
              <w:rPr>
                <w:rFonts w:ascii="Times New Roman" w:hAnsi="Times New Roman" w:cs="Times New Roman"/>
              </w:rPr>
            </w:pPr>
          </w:p>
          <w:p w14:paraId="2185D86A" w14:textId="10E06AB1" w:rsidR="004F0C91" w:rsidRPr="00515519" w:rsidRDefault="3E9DF34F" w:rsidP="14A94AAC">
            <w:pPr>
              <w:spacing w:line="276" w:lineRule="auto"/>
              <w:jc w:val="both"/>
              <w:rPr>
                <w:rFonts w:ascii="Times New Roman" w:hAnsi="Times New Roman" w:cs="Times New Roman"/>
              </w:rPr>
            </w:pPr>
            <w:r w:rsidRPr="14A94AAC">
              <w:rPr>
                <w:rFonts w:ascii="Times New Roman" w:hAnsi="Times New Roman" w:cs="Times New Roman"/>
              </w:rPr>
              <w:t>Mis puudutab teisi riike, siis ITU soovitused (sh ohutsooni märgistuse ja juurdepääsu takistuse kohta) baseeruvad suures osas just teiste riikide praktikale.</w:t>
            </w:r>
          </w:p>
          <w:p w14:paraId="0DFAF5C4" w14:textId="68D52AA2" w:rsidR="004F0C91" w:rsidRPr="00515519" w:rsidRDefault="00156723" w:rsidP="14A94AAC">
            <w:pPr>
              <w:spacing w:line="276" w:lineRule="auto"/>
              <w:jc w:val="both"/>
              <w:rPr>
                <w:rFonts w:ascii="Times New Roman" w:hAnsi="Times New Roman" w:cs="Times New Roman"/>
                <w:lang w:val="en-US"/>
              </w:rPr>
            </w:pPr>
            <w:r w:rsidRPr="14A94AAC">
              <w:rPr>
                <w:rFonts w:ascii="Times New Roman" w:hAnsi="Times New Roman" w:cs="Times New Roman"/>
                <w:lang w:val="en-US"/>
              </w:rPr>
              <w:t xml:space="preserve">Lisaks, </w:t>
            </w:r>
            <w:r w:rsidR="004E7765" w:rsidRPr="14A94AAC">
              <w:rPr>
                <w:rFonts w:ascii="Times New Roman" w:hAnsi="Times New Roman" w:cs="Times New Roman"/>
                <w:lang w:val="en-US"/>
              </w:rPr>
              <w:t>WHO</w:t>
            </w:r>
            <w:r w:rsidR="00C5736E" w:rsidRPr="14A94AAC">
              <w:rPr>
                <w:rFonts w:ascii="Times New Roman" w:hAnsi="Times New Roman" w:cs="Times New Roman"/>
                <w:lang w:val="en-US"/>
              </w:rPr>
              <w:t xml:space="preserve"> (2014)</w:t>
            </w:r>
            <w:r w:rsidR="004E7765" w:rsidRPr="14A94AAC">
              <w:rPr>
                <w:rFonts w:ascii="Times New Roman" w:hAnsi="Times New Roman" w:cs="Times New Roman"/>
                <w:lang w:val="en-US"/>
              </w:rPr>
              <w:t xml:space="preserve"> </w:t>
            </w:r>
            <w:proofErr w:type="spellStart"/>
            <w:r w:rsidR="004E7765" w:rsidRPr="14A94AAC">
              <w:rPr>
                <w:rFonts w:ascii="Times New Roman" w:hAnsi="Times New Roman" w:cs="Times New Roman"/>
                <w:lang w:val="en-US"/>
              </w:rPr>
              <w:t>uuring</w:t>
            </w:r>
            <w:proofErr w:type="spellEnd"/>
            <w:r w:rsidR="004E7765" w:rsidRPr="14A94AAC">
              <w:rPr>
                <w:rFonts w:ascii="Times New Roman" w:hAnsi="Times New Roman" w:cs="Times New Roman"/>
                <w:lang w:val="en-US"/>
              </w:rPr>
              <w:t xml:space="preserve"> (</w:t>
            </w:r>
            <w:proofErr w:type="spellStart"/>
            <w:r w:rsidR="004E7765" w:rsidRPr="14A94AAC">
              <w:rPr>
                <w:rFonts w:ascii="Times New Roman" w:hAnsi="Times New Roman" w:cs="Times New Roman"/>
                <w:lang w:val="en-US"/>
              </w:rPr>
              <w:t>sh</w:t>
            </w:r>
            <w:proofErr w:type="spellEnd"/>
            <w:r w:rsidR="004E7765" w:rsidRPr="14A94AAC">
              <w:rPr>
                <w:rFonts w:ascii="Times New Roman" w:hAnsi="Times New Roman" w:cs="Times New Roman"/>
                <w:lang w:val="en-US"/>
              </w:rPr>
              <w:t xml:space="preserve"> EL </w:t>
            </w:r>
            <w:proofErr w:type="spellStart"/>
            <w:r w:rsidR="004E7765" w:rsidRPr="14A94AAC">
              <w:rPr>
                <w:rFonts w:ascii="Times New Roman" w:hAnsi="Times New Roman" w:cs="Times New Roman"/>
                <w:lang w:val="en-US"/>
              </w:rPr>
              <w:t>riigid</w:t>
            </w:r>
            <w:proofErr w:type="spellEnd"/>
            <w:r w:rsidR="004E7765" w:rsidRPr="14A94AAC">
              <w:rPr>
                <w:rFonts w:ascii="Times New Roman" w:hAnsi="Times New Roman" w:cs="Times New Roman"/>
                <w:lang w:val="en-US"/>
              </w:rPr>
              <w:t>)</w:t>
            </w:r>
            <w:r w:rsidRPr="14A94AAC">
              <w:rPr>
                <w:rFonts w:ascii="Times New Roman" w:hAnsi="Times New Roman" w:cs="Times New Roman"/>
                <w:lang w:val="en-US"/>
              </w:rPr>
              <w:t xml:space="preserve"> </w:t>
            </w:r>
            <w:proofErr w:type="spellStart"/>
            <w:r w:rsidRPr="14A94AAC">
              <w:rPr>
                <w:rFonts w:ascii="Times New Roman" w:hAnsi="Times New Roman" w:cs="Times New Roman"/>
                <w:lang w:val="en-US"/>
              </w:rPr>
              <w:t>ütleb</w:t>
            </w:r>
            <w:proofErr w:type="spellEnd"/>
            <w:r w:rsidRPr="14A94AAC">
              <w:rPr>
                <w:rFonts w:ascii="Times New Roman" w:hAnsi="Times New Roman" w:cs="Times New Roman"/>
                <w:lang w:val="en-US"/>
              </w:rPr>
              <w:t>:</w:t>
            </w:r>
            <w:r w:rsidR="004F0C91" w:rsidRPr="14A94AAC">
              <w:rPr>
                <w:rFonts w:ascii="Times New Roman" w:hAnsi="Times New Roman" w:cs="Times New Roman"/>
                <w:lang w:val="en-US"/>
              </w:rPr>
              <w:t xml:space="preserve"> </w:t>
            </w:r>
            <w:r w:rsidR="004F0C91" w:rsidRPr="14A94AAC">
              <w:rPr>
                <w:rFonts w:ascii="Times New Roman" w:hAnsi="Times New Roman" w:cs="Times New Roman"/>
                <w:i/>
                <w:iCs/>
                <w:lang w:val="en-US"/>
              </w:rPr>
              <w:t>Provisions to prevent public access to areas around fixed installations</w:t>
            </w:r>
          </w:p>
          <w:p w14:paraId="1268C55D" w14:textId="77777777" w:rsidR="00631E51" w:rsidRPr="00515519" w:rsidRDefault="004F0C91" w:rsidP="004F0C91">
            <w:pPr>
              <w:spacing w:line="276" w:lineRule="auto"/>
              <w:jc w:val="both"/>
              <w:rPr>
                <w:rFonts w:ascii="Times New Roman" w:hAnsi="Times New Roman" w:cs="Times New Roman"/>
              </w:rPr>
            </w:pPr>
            <w:proofErr w:type="spellStart"/>
            <w:r w:rsidRPr="00B465F9">
              <w:rPr>
                <w:rFonts w:ascii="Times New Roman" w:hAnsi="Times New Roman" w:cs="Times New Roman"/>
                <w:i/>
                <w:iCs/>
              </w:rPr>
              <w:t>Among</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the</w:t>
            </w:r>
            <w:proofErr w:type="spellEnd"/>
            <w:r w:rsidRPr="00B465F9">
              <w:rPr>
                <w:rFonts w:ascii="Times New Roman" w:hAnsi="Times New Roman" w:cs="Times New Roman"/>
                <w:i/>
                <w:iCs/>
              </w:rPr>
              <w:t xml:space="preserve"> 77 </w:t>
            </w:r>
            <w:proofErr w:type="spellStart"/>
            <w:r w:rsidRPr="00B465F9">
              <w:rPr>
                <w:rFonts w:ascii="Times New Roman" w:hAnsi="Times New Roman" w:cs="Times New Roman"/>
                <w:i/>
                <w:iCs/>
              </w:rPr>
              <w:t>countries</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evaluated</w:t>
            </w:r>
            <w:proofErr w:type="spellEnd"/>
            <w:r w:rsidRPr="00B465F9">
              <w:rPr>
                <w:rFonts w:ascii="Times New Roman" w:hAnsi="Times New Roman" w:cs="Times New Roman"/>
                <w:i/>
                <w:iCs/>
              </w:rPr>
              <w:t xml:space="preserve">, 76.6 % (N = 59) </w:t>
            </w:r>
            <w:proofErr w:type="spellStart"/>
            <w:r w:rsidRPr="00B465F9">
              <w:rPr>
                <w:rFonts w:ascii="Times New Roman" w:hAnsi="Times New Roman" w:cs="Times New Roman"/>
                <w:i/>
                <w:iCs/>
              </w:rPr>
              <w:t>mentioned</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that</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provisions</w:t>
            </w:r>
            <w:proofErr w:type="spellEnd"/>
            <w:r w:rsidRPr="00B465F9">
              <w:rPr>
                <w:rFonts w:ascii="Times New Roman" w:hAnsi="Times New Roman" w:cs="Times New Roman"/>
                <w:i/>
                <w:iCs/>
              </w:rPr>
              <w:t xml:space="preserve"> are in </w:t>
            </w:r>
            <w:proofErr w:type="spellStart"/>
            <w:r w:rsidRPr="00B465F9">
              <w:rPr>
                <w:rFonts w:ascii="Times New Roman" w:hAnsi="Times New Roman" w:cs="Times New Roman"/>
                <w:i/>
                <w:iCs/>
              </w:rPr>
              <w:t>place</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to</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prevent</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public</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access</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close</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to</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fixed</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installations</w:t>
            </w:r>
            <w:proofErr w:type="spellEnd"/>
            <w:r w:rsidRPr="00B465F9">
              <w:rPr>
                <w:rFonts w:ascii="Times New Roman" w:hAnsi="Times New Roman" w:cs="Times New Roman"/>
                <w:i/>
                <w:iCs/>
              </w:rPr>
              <w:t xml:space="preserve">. The </w:t>
            </w:r>
            <w:proofErr w:type="spellStart"/>
            <w:r w:rsidRPr="00B465F9">
              <w:rPr>
                <w:rFonts w:ascii="Times New Roman" w:hAnsi="Times New Roman" w:cs="Times New Roman"/>
                <w:i/>
                <w:iCs/>
              </w:rPr>
              <w:t>most</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common</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provisions</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were</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physical</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barriers</w:t>
            </w:r>
            <w:proofErr w:type="spellEnd"/>
            <w:r w:rsidRPr="00B465F9">
              <w:rPr>
                <w:rFonts w:ascii="Times New Roman" w:hAnsi="Times New Roman" w:cs="Times New Roman"/>
                <w:i/>
                <w:iCs/>
              </w:rPr>
              <w:t xml:space="preserve"> and </w:t>
            </w:r>
            <w:proofErr w:type="spellStart"/>
            <w:r w:rsidRPr="00B465F9">
              <w:rPr>
                <w:rFonts w:ascii="Times New Roman" w:hAnsi="Times New Roman" w:cs="Times New Roman"/>
                <w:i/>
                <w:iCs/>
              </w:rPr>
              <w:t>warning</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signs</w:t>
            </w:r>
            <w:proofErr w:type="spellEnd"/>
            <w:r w:rsidRPr="00B465F9">
              <w:rPr>
                <w:rFonts w:ascii="Times New Roman" w:hAnsi="Times New Roman" w:cs="Times New Roman"/>
                <w:i/>
                <w:iCs/>
              </w:rPr>
              <w:t xml:space="preserve"> (72.9 % </w:t>
            </w:r>
            <w:proofErr w:type="spellStart"/>
            <w:r w:rsidRPr="00B465F9">
              <w:rPr>
                <w:rFonts w:ascii="Times New Roman" w:hAnsi="Times New Roman" w:cs="Times New Roman"/>
                <w:i/>
                <w:iCs/>
              </w:rPr>
              <w:t>for</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both</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some</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countries</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also</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mentioned</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safety</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zones</w:t>
            </w:r>
            <w:proofErr w:type="spellEnd"/>
            <w:r w:rsidRPr="00B465F9">
              <w:rPr>
                <w:rFonts w:ascii="Times New Roman" w:hAnsi="Times New Roman" w:cs="Times New Roman"/>
                <w:i/>
                <w:iCs/>
              </w:rPr>
              <w:t xml:space="preserve"> and </w:t>
            </w:r>
            <w:proofErr w:type="spellStart"/>
            <w:r w:rsidRPr="00B465F9">
              <w:rPr>
                <w:rFonts w:ascii="Times New Roman" w:hAnsi="Times New Roman" w:cs="Times New Roman"/>
                <w:i/>
                <w:iCs/>
              </w:rPr>
              <w:t>access</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to</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accredited</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personnel</w:t>
            </w:r>
            <w:proofErr w:type="spellEnd"/>
            <w:r w:rsidRPr="00B465F9">
              <w:rPr>
                <w:rFonts w:ascii="Times New Roman" w:hAnsi="Times New Roman" w:cs="Times New Roman"/>
                <w:i/>
                <w:iCs/>
              </w:rPr>
              <w:t xml:space="preserve"> </w:t>
            </w:r>
            <w:proofErr w:type="spellStart"/>
            <w:r w:rsidRPr="00B465F9">
              <w:rPr>
                <w:rFonts w:ascii="Times New Roman" w:hAnsi="Times New Roman" w:cs="Times New Roman"/>
                <w:i/>
                <w:iCs/>
              </w:rPr>
              <w:t>only</w:t>
            </w:r>
            <w:proofErr w:type="spellEnd"/>
            <w:r w:rsidR="00631E51" w:rsidRPr="00515519">
              <w:rPr>
                <w:rFonts w:ascii="Times New Roman" w:hAnsi="Times New Roman" w:cs="Times New Roman"/>
                <w:i/>
                <w:iCs/>
              </w:rPr>
              <w:t>.</w:t>
            </w:r>
            <w:r w:rsidR="002078AE" w:rsidRPr="00515519">
              <w:rPr>
                <w:rFonts w:ascii="Times New Roman" w:hAnsi="Times New Roman" w:cs="Times New Roman"/>
              </w:rPr>
              <w:t xml:space="preserve"> </w:t>
            </w:r>
            <w:r w:rsidR="004E7765" w:rsidRPr="004E7765">
              <w:rPr>
                <w:rFonts w:ascii="Times New Roman" w:hAnsi="Times New Roman" w:cs="Times New Roman"/>
              </w:rPr>
              <w:t>See näitab, et füüsilised tõkked on globaalses teenusepakkujate praktikasse suhteliselt</w:t>
            </w:r>
            <w:r w:rsidR="00631E51" w:rsidRPr="00515519">
              <w:rPr>
                <w:rFonts w:ascii="Times New Roman" w:hAnsi="Times New Roman" w:cs="Times New Roman"/>
              </w:rPr>
              <w:t xml:space="preserve"> </w:t>
            </w:r>
            <w:r w:rsidR="004E7765" w:rsidRPr="004E7765">
              <w:rPr>
                <w:rFonts w:ascii="Times New Roman" w:hAnsi="Times New Roman" w:cs="Times New Roman"/>
              </w:rPr>
              <w:t>tavalised.</w:t>
            </w:r>
          </w:p>
          <w:p w14:paraId="18C3D41F" w14:textId="586848F1" w:rsidR="004F0C91" w:rsidRPr="00515519" w:rsidRDefault="002078AE" w:rsidP="004F0C91">
            <w:pPr>
              <w:spacing w:line="276" w:lineRule="auto"/>
              <w:jc w:val="both"/>
              <w:rPr>
                <w:rFonts w:ascii="Times New Roman" w:hAnsi="Times New Roman" w:cs="Times New Roman"/>
              </w:rPr>
            </w:pPr>
            <w:r w:rsidRPr="00515519">
              <w:rPr>
                <w:rFonts w:ascii="Times New Roman" w:hAnsi="Times New Roman" w:cs="Times New Roman"/>
              </w:rPr>
              <w:t>Allikas</w:t>
            </w:r>
            <w:r w:rsidR="00F80B6D" w:rsidRPr="00515519">
              <w:rPr>
                <w:rFonts w:ascii="Times New Roman" w:hAnsi="Times New Roman" w:cs="Times New Roman"/>
              </w:rPr>
              <w:t xml:space="preserve">: </w:t>
            </w:r>
            <w:hyperlink r:id="rId12" w:history="1">
              <w:r w:rsidR="00F80B6D" w:rsidRPr="00515519">
                <w:rPr>
                  <w:rStyle w:val="Hperlink"/>
                  <w:rFonts w:ascii="Times New Roman" w:hAnsi="Times New Roman" w:cs="Times New Roman"/>
                </w:rPr>
                <w:t xml:space="preserve">Risk </w:t>
              </w:r>
              <w:proofErr w:type="spellStart"/>
              <w:r w:rsidR="00F80B6D" w:rsidRPr="00515519">
                <w:rPr>
                  <w:rStyle w:val="Hperlink"/>
                  <w:rFonts w:ascii="Times New Roman" w:hAnsi="Times New Roman" w:cs="Times New Roman"/>
                </w:rPr>
                <w:t>management</w:t>
              </w:r>
              <w:proofErr w:type="spellEnd"/>
              <w:r w:rsidR="00F80B6D" w:rsidRPr="00515519">
                <w:rPr>
                  <w:rStyle w:val="Hperlink"/>
                  <w:rFonts w:ascii="Times New Roman" w:hAnsi="Times New Roman" w:cs="Times New Roman"/>
                </w:rPr>
                <w:t xml:space="preserve"> </w:t>
              </w:r>
              <w:proofErr w:type="spellStart"/>
              <w:r w:rsidR="00F80B6D" w:rsidRPr="00515519">
                <w:rPr>
                  <w:rStyle w:val="Hperlink"/>
                  <w:rFonts w:ascii="Times New Roman" w:hAnsi="Times New Roman" w:cs="Times New Roman"/>
                </w:rPr>
                <w:t>policies</w:t>
              </w:r>
              <w:proofErr w:type="spellEnd"/>
              <w:r w:rsidR="00F80B6D" w:rsidRPr="00515519">
                <w:rPr>
                  <w:rStyle w:val="Hperlink"/>
                  <w:rFonts w:ascii="Times New Roman" w:hAnsi="Times New Roman" w:cs="Times New Roman"/>
                </w:rPr>
                <w:t xml:space="preserve"> and </w:t>
              </w:r>
              <w:proofErr w:type="spellStart"/>
              <w:r w:rsidR="00F80B6D" w:rsidRPr="00515519">
                <w:rPr>
                  <w:rStyle w:val="Hperlink"/>
                  <w:rFonts w:ascii="Times New Roman" w:hAnsi="Times New Roman" w:cs="Times New Roman"/>
                </w:rPr>
                <w:t>practices</w:t>
              </w:r>
              <w:proofErr w:type="spellEnd"/>
              <w:r w:rsidR="00F80B6D" w:rsidRPr="00515519">
                <w:rPr>
                  <w:rStyle w:val="Hperlink"/>
                  <w:rFonts w:ascii="Times New Roman" w:hAnsi="Times New Roman" w:cs="Times New Roman"/>
                </w:rPr>
                <w:t xml:space="preserve"> </w:t>
              </w:r>
              <w:proofErr w:type="spellStart"/>
              <w:r w:rsidR="00F80B6D" w:rsidRPr="00515519">
                <w:rPr>
                  <w:rStyle w:val="Hperlink"/>
                  <w:rFonts w:ascii="Times New Roman" w:hAnsi="Times New Roman" w:cs="Times New Roman"/>
                </w:rPr>
                <w:t>regarding</w:t>
              </w:r>
              <w:proofErr w:type="spellEnd"/>
              <w:r w:rsidR="00F80B6D" w:rsidRPr="00515519">
                <w:rPr>
                  <w:rStyle w:val="Hperlink"/>
                  <w:rFonts w:ascii="Times New Roman" w:hAnsi="Times New Roman" w:cs="Times New Roman"/>
                </w:rPr>
                <w:t xml:space="preserve"> </w:t>
              </w:r>
              <w:proofErr w:type="spellStart"/>
              <w:r w:rsidR="00F80B6D" w:rsidRPr="00515519">
                <w:rPr>
                  <w:rStyle w:val="Hperlink"/>
                  <w:rFonts w:ascii="Times New Roman" w:hAnsi="Times New Roman" w:cs="Times New Roman"/>
                </w:rPr>
                <w:t>radio</w:t>
              </w:r>
              <w:proofErr w:type="spellEnd"/>
              <w:r w:rsidR="00F80B6D" w:rsidRPr="00515519">
                <w:rPr>
                  <w:rStyle w:val="Hperlink"/>
                  <w:rFonts w:ascii="Times New Roman" w:hAnsi="Times New Roman" w:cs="Times New Roman"/>
                </w:rPr>
                <w:t xml:space="preserve"> </w:t>
              </w:r>
              <w:proofErr w:type="spellStart"/>
              <w:r w:rsidR="00F80B6D" w:rsidRPr="00515519">
                <w:rPr>
                  <w:rStyle w:val="Hperlink"/>
                  <w:rFonts w:ascii="Times New Roman" w:hAnsi="Times New Roman" w:cs="Times New Roman"/>
                </w:rPr>
                <w:t>frequency</w:t>
              </w:r>
              <w:proofErr w:type="spellEnd"/>
              <w:r w:rsidR="00F80B6D" w:rsidRPr="00515519">
                <w:rPr>
                  <w:rStyle w:val="Hperlink"/>
                  <w:rFonts w:ascii="Times New Roman" w:hAnsi="Times New Roman" w:cs="Times New Roman"/>
                </w:rPr>
                <w:t xml:space="preserve"> </w:t>
              </w:r>
              <w:proofErr w:type="spellStart"/>
              <w:r w:rsidR="00F80B6D" w:rsidRPr="00515519">
                <w:rPr>
                  <w:rStyle w:val="Hperlink"/>
                  <w:rFonts w:ascii="Times New Roman" w:hAnsi="Times New Roman" w:cs="Times New Roman"/>
                </w:rPr>
                <w:t>electromagnetic</w:t>
              </w:r>
              <w:proofErr w:type="spellEnd"/>
              <w:r w:rsidR="00F80B6D" w:rsidRPr="00515519">
                <w:rPr>
                  <w:rStyle w:val="Hperlink"/>
                  <w:rFonts w:ascii="Times New Roman" w:hAnsi="Times New Roman" w:cs="Times New Roman"/>
                </w:rPr>
                <w:t xml:space="preserve"> </w:t>
              </w:r>
              <w:proofErr w:type="spellStart"/>
              <w:r w:rsidR="00F80B6D" w:rsidRPr="00515519">
                <w:rPr>
                  <w:rStyle w:val="Hperlink"/>
                  <w:rFonts w:ascii="Times New Roman" w:hAnsi="Times New Roman" w:cs="Times New Roman"/>
                </w:rPr>
                <w:t>fields</w:t>
              </w:r>
              <w:proofErr w:type="spellEnd"/>
              <w:r w:rsidR="00F80B6D" w:rsidRPr="00515519">
                <w:rPr>
                  <w:rStyle w:val="Hperlink"/>
                  <w:rFonts w:ascii="Times New Roman" w:hAnsi="Times New Roman" w:cs="Times New Roman"/>
                </w:rPr>
                <w:t xml:space="preserve">: </w:t>
              </w:r>
              <w:proofErr w:type="spellStart"/>
              <w:r w:rsidR="00F80B6D" w:rsidRPr="00515519">
                <w:rPr>
                  <w:rStyle w:val="Hperlink"/>
                  <w:rFonts w:ascii="Times New Roman" w:hAnsi="Times New Roman" w:cs="Times New Roman"/>
                </w:rPr>
                <w:t>results</w:t>
              </w:r>
              <w:proofErr w:type="spellEnd"/>
              <w:r w:rsidR="00F80B6D" w:rsidRPr="00515519">
                <w:rPr>
                  <w:rStyle w:val="Hperlink"/>
                  <w:rFonts w:ascii="Times New Roman" w:hAnsi="Times New Roman" w:cs="Times New Roman"/>
                </w:rPr>
                <w:t xml:space="preserve"> </w:t>
              </w:r>
              <w:proofErr w:type="spellStart"/>
              <w:r w:rsidR="00F80B6D" w:rsidRPr="00515519">
                <w:rPr>
                  <w:rStyle w:val="Hperlink"/>
                  <w:rFonts w:ascii="Times New Roman" w:hAnsi="Times New Roman" w:cs="Times New Roman"/>
                </w:rPr>
                <w:t>from</w:t>
              </w:r>
              <w:proofErr w:type="spellEnd"/>
              <w:r w:rsidR="00F80B6D" w:rsidRPr="00515519">
                <w:rPr>
                  <w:rStyle w:val="Hperlink"/>
                  <w:rFonts w:ascii="Times New Roman" w:hAnsi="Times New Roman" w:cs="Times New Roman"/>
                </w:rPr>
                <w:t xml:space="preserve"> a WHO </w:t>
              </w:r>
              <w:proofErr w:type="spellStart"/>
              <w:r w:rsidR="00F80B6D" w:rsidRPr="00515519">
                <w:rPr>
                  <w:rStyle w:val="Hperlink"/>
                  <w:rFonts w:ascii="Times New Roman" w:hAnsi="Times New Roman" w:cs="Times New Roman"/>
                </w:rPr>
                <w:t>survey</w:t>
              </w:r>
              <w:proofErr w:type="spellEnd"/>
              <w:r w:rsidR="00F80B6D" w:rsidRPr="00515519">
                <w:rPr>
                  <w:rStyle w:val="Hperlink"/>
                  <w:rFonts w:ascii="Times New Roman" w:hAnsi="Times New Roman" w:cs="Times New Roman"/>
                </w:rPr>
                <w:t xml:space="preserve"> - PMC</w:t>
              </w:r>
            </w:hyperlink>
          </w:p>
          <w:p w14:paraId="331F5738" w14:textId="77777777" w:rsidR="00515519" w:rsidRPr="00515519" w:rsidRDefault="00515519" w:rsidP="004F0C91">
            <w:pPr>
              <w:spacing w:line="276" w:lineRule="auto"/>
              <w:jc w:val="both"/>
              <w:rPr>
                <w:rFonts w:ascii="Times New Roman" w:hAnsi="Times New Roman" w:cs="Times New Roman"/>
              </w:rPr>
            </w:pPr>
          </w:p>
          <w:p w14:paraId="239B491B" w14:textId="33C31C52" w:rsidR="004E7765" w:rsidRPr="004E7765" w:rsidRDefault="004E7765" w:rsidP="004E7765">
            <w:pPr>
              <w:spacing w:line="276" w:lineRule="auto"/>
              <w:jc w:val="both"/>
              <w:rPr>
                <w:rFonts w:ascii="Times New Roman" w:hAnsi="Times New Roman" w:cs="Times New Roman"/>
              </w:rPr>
            </w:pPr>
          </w:p>
          <w:p w14:paraId="6EB43F3A" w14:textId="17504377" w:rsidR="00A265BC" w:rsidRPr="00515519" w:rsidRDefault="00A265BC" w:rsidP="00A265BC">
            <w:pPr>
              <w:spacing w:line="276" w:lineRule="auto"/>
              <w:jc w:val="both"/>
              <w:rPr>
                <w:rFonts w:ascii="Times New Roman" w:hAnsi="Times New Roman" w:cs="Times New Roman"/>
              </w:rPr>
            </w:pPr>
          </w:p>
        </w:tc>
      </w:tr>
      <w:tr w:rsidR="00A265BC" w:rsidRPr="00D963AE" w14:paraId="488BCF85" w14:textId="77777777" w:rsidTr="14A94AAC">
        <w:trPr>
          <w:jc w:val="center"/>
        </w:trPr>
        <w:tc>
          <w:tcPr>
            <w:tcW w:w="1129" w:type="dxa"/>
            <w:shd w:val="clear" w:color="auto" w:fill="auto"/>
          </w:tcPr>
          <w:p w14:paraId="2544E16C" w14:textId="0F916104" w:rsidR="00A265BC" w:rsidRPr="00D963AE" w:rsidRDefault="00B55941" w:rsidP="00A265BC">
            <w:pPr>
              <w:spacing w:line="276" w:lineRule="auto"/>
              <w:jc w:val="both"/>
              <w:rPr>
                <w:rFonts w:ascii="Times New Roman" w:hAnsi="Times New Roman" w:cs="Times New Roman"/>
              </w:rPr>
            </w:pPr>
            <w:r>
              <w:rPr>
                <w:rFonts w:ascii="Times New Roman" w:hAnsi="Times New Roman" w:cs="Times New Roman"/>
              </w:rPr>
              <w:lastRenderedPageBreak/>
              <w:t>8.</w:t>
            </w:r>
          </w:p>
        </w:tc>
        <w:tc>
          <w:tcPr>
            <w:tcW w:w="7524" w:type="dxa"/>
          </w:tcPr>
          <w:p w14:paraId="1D9D29CA" w14:textId="39A9BDB6" w:rsidR="00A265BC" w:rsidRPr="00CD244E" w:rsidRDefault="00A265BC" w:rsidP="00A265BC">
            <w:pPr>
              <w:jc w:val="both"/>
              <w:rPr>
                <w:rFonts w:ascii="Times New Roman" w:hAnsi="Times New Roman" w:cs="Times New Roman"/>
              </w:rPr>
            </w:pPr>
            <w:r w:rsidRPr="00CD244E">
              <w:rPr>
                <w:rFonts w:ascii="Times New Roman" w:hAnsi="Times New Roman" w:cs="Times New Roman"/>
              </w:rPr>
              <w:t>Alternatiivne ettepanek</w:t>
            </w:r>
          </w:p>
          <w:p w14:paraId="3158FE3B" w14:textId="77777777" w:rsidR="00A265BC" w:rsidRPr="00CD244E" w:rsidRDefault="00A265BC" w:rsidP="00A265BC">
            <w:pPr>
              <w:jc w:val="both"/>
              <w:rPr>
                <w:rFonts w:ascii="Times New Roman" w:hAnsi="Times New Roman" w:cs="Times New Roman"/>
              </w:rPr>
            </w:pPr>
            <w:r w:rsidRPr="00CD244E">
              <w:rPr>
                <w:rFonts w:ascii="Times New Roman" w:hAnsi="Times New Roman" w:cs="Times New Roman"/>
              </w:rPr>
              <w:t>Juhul, kui Sotsiaalministeerium leiab, et Eesti peaks olema selles küsimuses erand ja sellised nõuded</w:t>
            </w:r>
          </w:p>
          <w:p w14:paraId="3E1DDABA" w14:textId="77777777" w:rsidR="00A265BC" w:rsidRPr="00CD244E" w:rsidRDefault="00A265BC" w:rsidP="00A265BC">
            <w:pPr>
              <w:jc w:val="both"/>
              <w:rPr>
                <w:rFonts w:ascii="Times New Roman" w:hAnsi="Times New Roman" w:cs="Times New Roman"/>
              </w:rPr>
            </w:pPr>
            <w:r w:rsidRPr="00CD244E">
              <w:rPr>
                <w:rFonts w:ascii="Times New Roman" w:hAnsi="Times New Roman" w:cs="Times New Roman"/>
              </w:rPr>
              <w:t>siiski kehtestada, siis teeme ettepaneku sõnastada see säte järgmiselt:</w:t>
            </w:r>
          </w:p>
          <w:p w14:paraId="1A5CDB61" w14:textId="77777777" w:rsidR="00A265BC" w:rsidRPr="00CD244E" w:rsidRDefault="00A265BC" w:rsidP="00A265BC">
            <w:pPr>
              <w:jc w:val="both"/>
              <w:rPr>
                <w:rFonts w:ascii="Times New Roman" w:hAnsi="Times New Roman" w:cs="Times New Roman"/>
              </w:rPr>
            </w:pPr>
            <w:r w:rsidRPr="00CD244E">
              <w:rPr>
                <w:rFonts w:ascii="Times New Roman" w:hAnsi="Times New Roman" w:cs="Times New Roman"/>
              </w:rPr>
              <w:t>„(6) Kõrvaliste isikute pääs kiirgusallika ohutsooni või viibimine seal peab olema ennetava meetmena</w:t>
            </w:r>
          </w:p>
          <w:p w14:paraId="7758C87D" w14:textId="77777777" w:rsidR="00A265BC" w:rsidRPr="00CD244E" w:rsidRDefault="00A265BC" w:rsidP="00A265BC">
            <w:pPr>
              <w:jc w:val="both"/>
              <w:rPr>
                <w:rFonts w:ascii="Times New Roman" w:hAnsi="Times New Roman" w:cs="Times New Roman"/>
              </w:rPr>
            </w:pPr>
            <w:r w:rsidRPr="00CD244E">
              <w:rPr>
                <w:rFonts w:ascii="Times New Roman" w:hAnsi="Times New Roman" w:cs="Times New Roman"/>
              </w:rPr>
              <w:lastRenderedPageBreak/>
              <w:t>tõkestatud vastava juurdepääsupiiranguga või tähistatud ohumärgistusega.“</w:t>
            </w:r>
          </w:p>
          <w:p w14:paraId="241062B7" w14:textId="77777777" w:rsidR="00A265BC" w:rsidRPr="00CD244E" w:rsidRDefault="00A265BC" w:rsidP="00A265BC">
            <w:pPr>
              <w:jc w:val="both"/>
              <w:rPr>
                <w:rFonts w:ascii="Times New Roman" w:hAnsi="Times New Roman" w:cs="Times New Roman"/>
              </w:rPr>
            </w:pPr>
            <w:r w:rsidRPr="00CD244E">
              <w:rPr>
                <w:rFonts w:ascii="Times New Roman" w:hAnsi="Times New Roman" w:cs="Times New Roman"/>
              </w:rPr>
              <w:t>Põhjendame seda järgnevalt (korrates osaliselt eelnõu seletuskirjas juba toodut):</w:t>
            </w:r>
          </w:p>
          <w:p w14:paraId="23A7D156" w14:textId="77777777" w:rsidR="00A265BC" w:rsidRPr="00CD244E" w:rsidRDefault="00A265BC" w:rsidP="00A265BC">
            <w:pPr>
              <w:jc w:val="both"/>
              <w:rPr>
                <w:rFonts w:ascii="Times New Roman" w:hAnsi="Times New Roman" w:cs="Times New Roman"/>
              </w:rPr>
            </w:pPr>
            <w:r w:rsidRPr="00CD244E">
              <w:rPr>
                <w:rFonts w:ascii="Times New Roman" w:hAnsi="Times New Roman" w:cs="Times New Roman"/>
              </w:rPr>
              <w:t>• Kui antenn on masti otsas, siis ohutsooni selle all ei ole. Vertikaalne ohutsoon tekib antenni</w:t>
            </w:r>
          </w:p>
          <w:p w14:paraId="78169553" w14:textId="77777777" w:rsidR="00A265BC" w:rsidRPr="00CD244E" w:rsidRDefault="00A265BC" w:rsidP="00A265BC">
            <w:pPr>
              <w:jc w:val="both"/>
              <w:rPr>
                <w:rFonts w:ascii="Times New Roman" w:hAnsi="Times New Roman" w:cs="Times New Roman"/>
              </w:rPr>
            </w:pPr>
            <w:r w:rsidRPr="00CD244E">
              <w:rPr>
                <w:rFonts w:ascii="Times New Roman" w:hAnsi="Times New Roman" w:cs="Times New Roman"/>
              </w:rPr>
              <w:t>peakiire suunas, aga kui see katusel ei ulatu siis pole vaja piirdeid või märgistust. Seega on see</w:t>
            </w:r>
          </w:p>
          <w:p w14:paraId="156B7D20" w14:textId="77777777" w:rsidR="00A265BC" w:rsidRPr="00CD244E" w:rsidRDefault="00A265BC" w:rsidP="00A265BC">
            <w:pPr>
              <w:jc w:val="both"/>
              <w:rPr>
                <w:rFonts w:ascii="Times New Roman" w:hAnsi="Times New Roman" w:cs="Times New Roman"/>
              </w:rPr>
            </w:pPr>
            <w:r w:rsidRPr="00CD244E">
              <w:rPr>
                <w:rFonts w:ascii="Times New Roman" w:hAnsi="Times New Roman" w:cs="Times New Roman"/>
              </w:rPr>
              <w:t>ennetavat meedet juba rakendatud;</w:t>
            </w:r>
          </w:p>
          <w:p w14:paraId="57AC04B9" w14:textId="77777777" w:rsidR="00A265BC" w:rsidRPr="00CD244E" w:rsidRDefault="00A265BC" w:rsidP="00A265BC">
            <w:pPr>
              <w:jc w:val="both"/>
              <w:rPr>
                <w:rFonts w:ascii="Times New Roman" w:hAnsi="Times New Roman" w:cs="Times New Roman"/>
              </w:rPr>
            </w:pPr>
            <w:r w:rsidRPr="00CD244E">
              <w:rPr>
                <w:rFonts w:ascii="Times New Roman" w:hAnsi="Times New Roman" w:cs="Times New Roman"/>
              </w:rPr>
              <w:t>• Kui antenn on katusel madalal ja tekib ohutsoon, siis tuleb antenn nagunii kõrgemale tõsta või</w:t>
            </w:r>
          </w:p>
          <w:p w14:paraId="7D3E0DB6" w14:textId="77777777" w:rsidR="00A265BC" w:rsidRPr="00CD244E" w:rsidRDefault="00A265BC" w:rsidP="00A265BC">
            <w:pPr>
              <w:jc w:val="both"/>
              <w:rPr>
                <w:rFonts w:ascii="Times New Roman" w:hAnsi="Times New Roman" w:cs="Times New Roman"/>
              </w:rPr>
            </w:pPr>
            <w:r w:rsidRPr="00CD244E">
              <w:rPr>
                <w:rFonts w:ascii="Times New Roman" w:hAnsi="Times New Roman" w:cs="Times New Roman"/>
              </w:rPr>
              <w:t>peakiire suunda muuta, sest Terviseameti kooskõlastuse saamiseks peab antenn olema õigesti</w:t>
            </w:r>
          </w:p>
          <w:p w14:paraId="50A0FD85" w14:textId="77777777" w:rsidR="00A265BC" w:rsidRPr="00CD244E" w:rsidRDefault="00A265BC" w:rsidP="00A265BC">
            <w:pPr>
              <w:jc w:val="both"/>
              <w:rPr>
                <w:rFonts w:ascii="Times New Roman" w:hAnsi="Times New Roman" w:cs="Times New Roman"/>
              </w:rPr>
            </w:pPr>
            <w:r w:rsidRPr="00CD244E">
              <w:rPr>
                <w:rFonts w:ascii="Times New Roman" w:hAnsi="Times New Roman" w:cs="Times New Roman"/>
              </w:rPr>
              <w:t>suunatud. Seega on ennetavat meedet rakendatud;</w:t>
            </w:r>
          </w:p>
          <w:p w14:paraId="4B2AC1A4" w14:textId="77777777" w:rsidR="00A265BC" w:rsidRPr="00CD244E" w:rsidRDefault="00A265BC" w:rsidP="00A265BC">
            <w:pPr>
              <w:jc w:val="both"/>
              <w:rPr>
                <w:rFonts w:ascii="Times New Roman" w:hAnsi="Times New Roman" w:cs="Times New Roman"/>
              </w:rPr>
            </w:pPr>
            <w:r w:rsidRPr="00CD244E">
              <w:rPr>
                <w:rFonts w:ascii="Times New Roman" w:hAnsi="Times New Roman" w:cs="Times New Roman"/>
              </w:rPr>
              <w:t>• Juurdepääsupiirang nagu eeldaks iga kord 3D mudeli koostamist ja millegi juurde tegemist või</w:t>
            </w:r>
          </w:p>
          <w:p w14:paraId="425380C0" w14:textId="77777777" w:rsidR="00A265BC" w:rsidRPr="00CD244E" w:rsidRDefault="00A265BC" w:rsidP="00A265BC">
            <w:pPr>
              <w:jc w:val="both"/>
              <w:rPr>
                <w:rFonts w:ascii="Times New Roman" w:hAnsi="Times New Roman" w:cs="Times New Roman"/>
              </w:rPr>
            </w:pPr>
            <w:r w:rsidRPr="00CD244E">
              <w:rPr>
                <w:rFonts w:ascii="Times New Roman" w:hAnsi="Times New Roman" w:cs="Times New Roman"/>
              </w:rPr>
              <w:t>ehitamist. Kui sidemast on eraldiseisva ehitisena, siis on nagunii sellele juurdepääs piiratud.</w:t>
            </w:r>
          </w:p>
          <w:p w14:paraId="187F2D3B" w14:textId="77777777" w:rsidR="00A265BC" w:rsidRPr="00CD244E" w:rsidRDefault="00A265BC" w:rsidP="00A265BC">
            <w:pPr>
              <w:jc w:val="both"/>
              <w:rPr>
                <w:rFonts w:ascii="Times New Roman" w:hAnsi="Times New Roman" w:cs="Times New Roman"/>
              </w:rPr>
            </w:pPr>
            <w:r w:rsidRPr="00CD244E">
              <w:rPr>
                <w:rFonts w:ascii="Times New Roman" w:hAnsi="Times New Roman" w:cs="Times New Roman"/>
              </w:rPr>
              <w:t>Seega on ennetavat meedet rakendatud</w:t>
            </w:r>
          </w:p>
          <w:p w14:paraId="61F6DDFD" w14:textId="77777777" w:rsidR="00A265BC" w:rsidRPr="00CD244E" w:rsidRDefault="00A265BC" w:rsidP="00A265BC">
            <w:pPr>
              <w:jc w:val="both"/>
              <w:rPr>
                <w:rFonts w:ascii="Times New Roman" w:hAnsi="Times New Roman" w:cs="Times New Roman"/>
              </w:rPr>
            </w:pPr>
            <w:r w:rsidRPr="00CD244E">
              <w:rPr>
                <w:rFonts w:ascii="Times New Roman" w:hAnsi="Times New Roman" w:cs="Times New Roman"/>
              </w:rPr>
              <w:t>• Katuse pinnad on enamasti kolmanda isiku (KÜ, KOV) territoorium, mille lukustuse või</w:t>
            </w:r>
          </w:p>
          <w:p w14:paraId="56AF1D88" w14:textId="77777777" w:rsidR="00A265BC" w:rsidRPr="00CD244E" w:rsidRDefault="00A265BC" w:rsidP="00A265BC">
            <w:pPr>
              <w:jc w:val="both"/>
              <w:rPr>
                <w:rFonts w:ascii="Times New Roman" w:hAnsi="Times New Roman" w:cs="Times New Roman"/>
              </w:rPr>
            </w:pPr>
            <w:r w:rsidRPr="00CD244E">
              <w:rPr>
                <w:rFonts w:ascii="Times New Roman" w:hAnsi="Times New Roman" w:cs="Times New Roman"/>
              </w:rPr>
              <w:t xml:space="preserve">piiramise osas saavad otsused teha pinna omanikud koostöös </w:t>
            </w:r>
            <w:proofErr w:type="spellStart"/>
            <w:r w:rsidRPr="00CD244E">
              <w:rPr>
                <w:rFonts w:ascii="Times New Roman" w:hAnsi="Times New Roman" w:cs="Times New Roman"/>
              </w:rPr>
              <w:t>rentijatega</w:t>
            </w:r>
            <w:proofErr w:type="spellEnd"/>
            <w:r w:rsidRPr="00CD244E">
              <w:rPr>
                <w:rFonts w:ascii="Times New Roman" w:hAnsi="Times New Roman" w:cs="Times New Roman"/>
              </w:rPr>
              <w:t>.</w:t>
            </w:r>
          </w:p>
          <w:p w14:paraId="170CD675" w14:textId="77777777" w:rsidR="00A265BC" w:rsidRPr="00CD244E" w:rsidRDefault="00A265BC" w:rsidP="00A265BC">
            <w:pPr>
              <w:jc w:val="both"/>
              <w:rPr>
                <w:rFonts w:ascii="Times New Roman" w:hAnsi="Times New Roman" w:cs="Times New Roman"/>
              </w:rPr>
            </w:pPr>
            <w:r w:rsidRPr="00CD244E">
              <w:rPr>
                <w:rFonts w:ascii="Times New Roman" w:hAnsi="Times New Roman" w:cs="Times New Roman"/>
              </w:rPr>
              <w:t>• Kui nüüd keegi siiski eirab antennile juurdepääsu piiravat meedet, siis see on juba tema enda</w:t>
            </w:r>
          </w:p>
          <w:p w14:paraId="5E88BA9C" w14:textId="628BF721" w:rsidR="00A265BC" w:rsidRPr="00D963AE" w:rsidRDefault="00A265BC" w:rsidP="00A265BC">
            <w:pPr>
              <w:jc w:val="both"/>
              <w:rPr>
                <w:rFonts w:ascii="Times New Roman" w:hAnsi="Times New Roman" w:cs="Times New Roman"/>
              </w:rPr>
            </w:pPr>
            <w:r w:rsidRPr="00CD244E">
              <w:rPr>
                <w:rFonts w:ascii="Times New Roman" w:hAnsi="Times New Roman" w:cs="Times New Roman"/>
              </w:rPr>
              <w:t>risk ja tegelikult seaduse kohaselt karistatav (kui ta midagi ära lõhub).</w:t>
            </w:r>
          </w:p>
        </w:tc>
        <w:tc>
          <w:tcPr>
            <w:tcW w:w="5676" w:type="dxa"/>
          </w:tcPr>
          <w:p w14:paraId="6C328D7C" w14:textId="6BCD41A5" w:rsidR="00777E9C" w:rsidRDefault="00777E9C" w:rsidP="0015708A">
            <w:pPr>
              <w:spacing w:line="276" w:lineRule="auto"/>
              <w:jc w:val="both"/>
              <w:rPr>
                <w:rFonts w:ascii="Times New Roman" w:hAnsi="Times New Roman" w:cs="Times New Roman"/>
                <w:b/>
                <w:bCs/>
              </w:rPr>
            </w:pPr>
            <w:r>
              <w:rPr>
                <w:rFonts w:ascii="Times New Roman" w:hAnsi="Times New Roman" w:cs="Times New Roman"/>
                <w:b/>
                <w:bCs/>
              </w:rPr>
              <w:lastRenderedPageBreak/>
              <w:t>Arvestatud osaliselt.</w:t>
            </w:r>
            <w:r w:rsidR="00F42D56">
              <w:rPr>
                <w:rFonts w:ascii="Times New Roman" w:hAnsi="Times New Roman" w:cs="Times New Roman"/>
                <w:b/>
                <w:bCs/>
              </w:rPr>
              <w:t xml:space="preserve"> </w:t>
            </w:r>
            <w:r w:rsidRPr="00777E9C">
              <w:rPr>
                <w:rFonts w:ascii="Times New Roman" w:hAnsi="Times New Roman" w:cs="Times New Roman"/>
              </w:rPr>
              <w:t>Sät</w:t>
            </w:r>
            <w:r w:rsidR="00705C06">
              <w:rPr>
                <w:rFonts w:ascii="Times New Roman" w:hAnsi="Times New Roman" w:cs="Times New Roman"/>
              </w:rPr>
              <w:t>t</w:t>
            </w:r>
            <w:r w:rsidRPr="00777E9C">
              <w:rPr>
                <w:rFonts w:ascii="Times New Roman" w:hAnsi="Times New Roman" w:cs="Times New Roman"/>
              </w:rPr>
              <w:t>e sõnastust täpsustatud sõnadega „piisaval</w:t>
            </w:r>
            <w:r w:rsidR="00705C06">
              <w:rPr>
                <w:rFonts w:ascii="Times New Roman" w:hAnsi="Times New Roman" w:cs="Times New Roman"/>
              </w:rPr>
              <w:t>t</w:t>
            </w:r>
            <w:r w:rsidRPr="00777E9C">
              <w:rPr>
                <w:rFonts w:ascii="Times New Roman" w:hAnsi="Times New Roman" w:cs="Times New Roman"/>
              </w:rPr>
              <w:t xml:space="preserve"> ja asjakohaselt“.</w:t>
            </w:r>
            <w:r>
              <w:rPr>
                <w:rFonts w:ascii="Times New Roman" w:hAnsi="Times New Roman" w:cs="Times New Roman"/>
                <w:b/>
                <w:bCs/>
              </w:rPr>
              <w:t xml:space="preserve"> </w:t>
            </w:r>
          </w:p>
          <w:p w14:paraId="1B160600" w14:textId="77777777" w:rsidR="00777E9C" w:rsidRDefault="00777E9C" w:rsidP="0015708A">
            <w:pPr>
              <w:spacing w:line="276" w:lineRule="auto"/>
              <w:jc w:val="both"/>
              <w:rPr>
                <w:rFonts w:ascii="Times New Roman" w:hAnsi="Times New Roman" w:cs="Times New Roman"/>
                <w:b/>
                <w:bCs/>
              </w:rPr>
            </w:pPr>
          </w:p>
          <w:p w14:paraId="6C10DDE3" w14:textId="74AAE5BB" w:rsidR="0015708A" w:rsidRDefault="00A265BC" w:rsidP="0015708A">
            <w:pPr>
              <w:spacing w:line="276" w:lineRule="auto"/>
              <w:jc w:val="both"/>
              <w:rPr>
                <w:rFonts w:ascii="Times New Roman" w:hAnsi="Times New Roman" w:cs="Times New Roman"/>
              </w:rPr>
            </w:pPr>
            <w:r w:rsidRPr="007F6224">
              <w:rPr>
                <w:rFonts w:ascii="Times New Roman" w:hAnsi="Times New Roman" w:cs="Times New Roman"/>
              </w:rPr>
              <w:t>„</w:t>
            </w:r>
            <w:r w:rsidRPr="00515519">
              <w:rPr>
                <w:rFonts w:ascii="Times New Roman" w:hAnsi="Times New Roman" w:cs="Times New Roman"/>
              </w:rPr>
              <w:t>Või“ ei ole piisav</w:t>
            </w:r>
            <w:r w:rsidR="00CE3467">
              <w:rPr>
                <w:rFonts w:ascii="Times New Roman" w:hAnsi="Times New Roman" w:cs="Times New Roman"/>
              </w:rPr>
              <w:t xml:space="preserve"> ja jääb nõrgaks</w:t>
            </w:r>
            <w:r w:rsidRPr="00515519">
              <w:rPr>
                <w:rFonts w:ascii="Times New Roman" w:hAnsi="Times New Roman" w:cs="Times New Roman"/>
              </w:rPr>
              <w:t>, sest kui tekib olukord et p</w:t>
            </w:r>
            <w:r w:rsidR="00F42D56" w:rsidRPr="00515519">
              <w:rPr>
                <w:rFonts w:ascii="Times New Roman" w:hAnsi="Times New Roman" w:cs="Times New Roman"/>
              </w:rPr>
              <w:t>aigaldatakse</w:t>
            </w:r>
            <w:r w:rsidRPr="00515519">
              <w:rPr>
                <w:rFonts w:ascii="Times New Roman" w:hAnsi="Times New Roman" w:cs="Times New Roman"/>
              </w:rPr>
              <w:t xml:space="preserve"> </w:t>
            </w:r>
            <w:r w:rsidR="00CE3467">
              <w:rPr>
                <w:rFonts w:ascii="Times New Roman" w:hAnsi="Times New Roman" w:cs="Times New Roman"/>
              </w:rPr>
              <w:t xml:space="preserve">üksnes </w:t>
            </w:r>
            <w:r w:rsidRPr="00515519">
              <w:rPr>
                <w:rFonts w:ascii="Times New Roman" w:hAnsi="Times New Roman" w:cs="Times New Roman"/>
              </w:rPr>
              <w:t>sildid, siis see ei takista inimeste juurdepääsu</w:t>
            </w:r>
            <w:r w:rsidR="008115DF">
              <w:rPr>
                <w:rFonts w:ascii="Times New Roman" w:hAnsi="Times New Roman" w:cs="Times New Roman"/>
              </w:rPr>
              <w:t xml:space="preserve"> alati</w:t>
            </w:r>
            <w:r w:rsidR="0062688D" w:rsidRPr="00515519">
              <w:rPr>
                <w:rFonts w:ascii="Times New Roman" w:hAnsi="Times New Roman" w:cs="Times New Roman"/>
              </w:rPr>
              <w:t>, nagu on kirjeldatud</w:t>
            </w:r>
            <w:r w:rsidR="00515519">
              <w:rPr>
                <w:rFonts w:ascii="Times New Roman" w:hAnsi="Times New Roman" w:cs="Times New Roman"/>
              </w:rPr>
              <w:t xml:space="preserve"> täpsemalt</w:t>
            </w:r>
            <w:r w:rsidR="0062688D" w:rsidRPr="00515519">
              <w:rPr>
                <w:rFonts w:ascii="Times New Roman" w:hAnsi="Times New Roman" w:cs="Times New Roman"/>
              </w:rPr>
              <w:t xml:space="preserve"> määruse </w:t>
            </w:r>
            <w:r w:rsidR="0062688D" w:rsidRPr="00515519">
              <w:rPr>
                <w:rFonts w:ascii="Times New Roman" w:hAnsi="Times New Roman" w:cs="Times New Roman"/>
              </w:rPr>
              <w:lastRenderedPageBreak/>
              <w:t>seletuskirjas</w:t>
            </w:r>
            <w:r w:rsidRPr="00515519">
              <w:rPr>
                <w:rFonts w:ascii="Times New Roman" w:hAnsi="Times New Roman" w:cs="Times New Roman"/>
              </w:rPr>
              <w:t>.</w:t>
            </w:r>
            <w:r w:rsidR="0015708A">
              <w:rPr>
                <w:rFonts w:ascii="Times New Roman" w:hAnsi="Times New Roman" w:cs="Times New Roman"/>
              </w:rPr>
              <w:t xml:space="preserve"> Lisaks </w:t>
            </w:r>
            <w:r w:rsidR="0015708A" w:rsidRPr="0015708A">
              <w:rPr>
                <w:rFonts w:ascii="Times New Roman" w:hAnsi="Times New Roman" w:cs="Times New Roman"/>
              </w:rPr>
              <w:t>„</w:t>
            </w:r>
            <w:r w:rsidR="0015708A">
              <w:rPr>
                <w:rFonts w:ascii="Times New Roman" w:hAnsi="Times New Roman" w:cs="Times New Roman"/>
              </w:rPr>
              <w:t>e</w:t>
            </w:r>
            <w:r w:rsidR="0015708A" w:rsidRPr="0015708A">
              <w:rPr>
                <w:rFonts w:ascii="Times New Roman" w:hAnsi="Times New Roman" w:cs="Times New Roman"/>
              </w:rPr>
              <w:t>nnetav meede“ sättes viita</w:t>
            </w:r>
            <w:r w:rsidR="004461EB">
              <w:rPr>
                <w:rFonts w:ascii="Times New Roman" w:hAnsi="Times New Roman" w:cs="Times New Roman"/>
              </w:rPr>
              <w:t>ks justkui</w:t>
            </w:r>
            <w:r w:rsidR="0015708A" w:rsidRPr="0015708A">
              <w:rPr>
                <w:rFonts w:ascii="Times New Roman" w:hAnsi="Times New Roman" w:cs="Times New Roman"/>
              </w:rPr>
              <w:t xml:space="preserve"> sellele, et kiirgusallikad mis paigaldati enne määruse jõustumist, ei peaks meetmeid võtma (kui peaks olema vastuolu sättega).</w:t>
            </w:r>
            <w:r w:rsidR="00105EF3">
              <w:rPr>
                <w:rFonts w:ascii="Times New Roman" w:hAnsi="Times New Roman" w:cs="Times New Roman"/>
              </w:rPr>
              <w:t xml:space="preserve"> </w:t>
            </w:r>
            <w:r w:rsidR="00250479" w:rsidRPr="00250479">
              <w:rPr>
                <w:rFonts w:ascii="Times New Roman" w:hAnsi="Times New Roman" w:cs="Times New Roman"/>
              </w:rPr>
              <w:t>Sõnastus „piisavalt ja asjakohaselt“ tagab, et hindamine toimub juhtumipõhiselt</w:t>
            </w:r>
            <w:r w:rsidR="00D6543C">
              <w:rPr>
                <w:rFonts w:ascii="Times New Roman" w:hAnsi="Times New Roman" w:cs="Times New Roman"/>
              </w:rPr>
              <w:t xml:space="preserve"> ning</w:t>
            </w:r>
            <w:r w:rsidR="00105EF3">
              <w:rPr>
                <w:rFonts w:ascii="Times New Roman" w:hAnsi="Times New Roman" w:cs="Times New Roman"/>
              </w:rPr>
              <w:t xml:space="preserve"> annab nii Terviseametile kaalutlusõiguse järelevalvetoimingutes kui ka kiirgusallika valdajale</w:t>
            </w:r>
            <w:r w:rsidR="00EC24CC">
              <w:rPr>
                <w:rFonts w:ascii="Times New Roman" w:hAnsi="Times New Roman" w:cs="Times New Roman"/>
              </w:rPr>
              <w:t xml:space="preserve"> võimaluse põhjendada enda võetud meetmeid vastavalt olukorrale.</w:t>
            </w:r>
            <w:r w:rsidR="00250479">
              <w:rPr>
                <w:rFonts w:ascii="Times New Roman" w:hAnsi="Times New Roman" w:cs="Times New Roman"/>
              </w:rPr>
              <w:t xml:space="preserve"> </w:t>
            </w:r>
          </w:p>
          <w:p w14:paraId="61246EEB" w14:textId="77777777" w:rsidR="007F6224" w:rsidRDefault="007F6224" w:rsidP="0015708A">
            <w:pPr>
              <w:spacing w:line="276" w:lineRule="auto"/>
              <w:jc w:val="both"/>
              <w:rPr>
                <w:rFonts w:ascii="Times New Roman" w:hAnsi="Times New Roman" w:cs="Times New Roman"/>
              </w:rPr>
            </w:pPr>
          </w:p>
          <w:p w14:paraId="558CC636" w14:textId="6F1D8C85" w:rsidR="00AA43B7" w:rsidRDefault="00D1225D" w:rsidP="00A265BC">
            <w:pPr>
              <w:spacing w:line="276" w:lineRule="auto"/>
              <w:jc w:val="both"/>
              <w:rPr>
                <w:rFonts w:ascii="Times New Roman" w:hAnsi="Times New Roman" w:cs="Times New Roman"/>
              </w:rPr>
            </w:pPr>
            <w:r w:rsidRPr="003E3354">
              <w:rPr>
                <w:rFonts w:ascii="Times New Roman" w:hAnsi="Times New Roman" w:cs="Times New Roman"/>
              </w:rPr>
              <w:t>Üksnes p</w:t>
            </w:r>
            <w:r w:rsidR="00A265BC" w:rsidRPr="003E3354">
              <w:rPr>
                <w:rFonts w:ascii="Times New Roman" w:hAnsi="Times New Roman" w:cs="Times New Roman"/>
              </w:rPr>
              <w:t xml:space="preserve">eakiire suund ei ole </w:t>
            </w:r>
            <w:r w:rsidRPr="003E3354">
              <w:rPr>
                <w:rFonts w:ascii="Times New Roman" w:hAnsi="Times New Roman" w:cs="Times New Roman"/>
              </w:rPr>
              <w:t>tänapäeval enam aktuaalne</w:t>
            </w:r>
            <w:r w:rsidR="00A265BC" w:rsidRPr="003E3354">
              <w:rPr>
                <w:rFonts w:ascii="Times New Roman" w:hAnsi="Times New Roman" w:cs="Times New Roman"/>
              </w:rPr>
              <w:t xml:space="preserve"> – 5G</w:t>
            </w:r>
            <w:r w:rsidRPr="003E3354">
              <w:rPr>
                <w:rFonts w:ascii="Times New Roman" w:hAnsi="Times New Roman" w:cs="Times New Roman"/>
              </w:rPr>
              <w:t xml:space="preserve"> tehnoloogia</w:t>
            </w:r>
            <w:r w:rsidR="00CE3467">
              <w:rPr>
                <w:rFonts w:ascii="Times New Roman" w:hAnsi="Times New Roman" w:cs="Times New Roman"/>
              </w:rPr>
              <w:t xml:space="preserve"> (</w:t>
            </w:r>
            <w:proofErr w:type="spellStart"/>
            <w:r w:rsidR="00CE3467">
              <w:rPr>
                <w:rFonts w:ascii="Times New Roman" w:hAnsi="Times New Roman" w:cs="Times New Roman"/>
              </w:rPr>
              <w:t>beamforming</w:t>
            </w:r>
            <w:proofErr w:type="spellEnd"/>
            <w:r w:rsidR="00CE3467">
              <w:rPr>
                <w:rFonts w:ascii="Times New Roman" w:hAnsi="Times New Roman" w:cs="Times New Roman"/>
              </w:rPr>
              <w:t>, MIMO)</w:t>
            </w:r>
            <w:r w:rsidR="00A265BC" w:rsidRPr="003E3354">
              <w:rPr>
                <w:rFonts w:ascii="Times New Roman" w:hAnsi="Times New Roman" w:cs="Times New Roman"/>
              </w:rPr>
              <w:t xml:space="preserve"> puhul nt ei ole peakiir suund</w:t>
            </w:r>
            <w:r w:rsidRPr="003E3354">
              <w:rPr>
                <w:rFonts w:ascii="Times New Roman" w:hAnsi="Times New Roman" w:cs="Times New Roman"/>
              </w:rPr>
              <w:t xml:space="preserve"> fikseeritav üheselt</w:t>
            </w:r>
            <w:r w:rsidR="00A265BC" w:rsidRPr="003E3354">
              <w:rPr>
                <w:rFonts w:ascii="Times New Roman" w:hAnsi="Times New Roman" w:cs="Times New Roman"/>
              </w:rPr>
              <w:t xml:space="preserve"> (oleneb signaali sihtmärgist</w:t>
            </w:r>
            <w:r w:rsidRPr="003E3354">
              <w:rPr>
                <w:rFonts w:ascii="Times New Roman" w:hAnsi="Times New Roman" w:cs="Times New Roman"/>
              </w:rPr>
              <w:t xml:space="preserve"> ja suund võib iga hetk muutuda</w:t>
            </w:r>
            <w:r w:rsidR="00A265BC" w:rsidRPr="003E3354">
              <w:rPr>
                <w:rFonts w:ascii="Times New Roman" w:hAnsi="Times New Roman" w:cs="Times New Roman"/>
              </w:rPr>
              <w:t xml:space="preserve">). </w:t>
            </w:r>
            <w:r w:rsidRPr="003E3354">
              <w:rPr>
                <w:rFonts w:ascii="Times New Roman" w:hAnsi="Times New Roman" w:cs="Times New Roman"/>
              </w:rPr>
              <w:t xml:space="preserve">Terviseametil on järelevalve menetlustega kogemus, kus teatud piirkondades ei ole </w:t>
            </w:r>
            <w:r w:rsidR="00723396" w:rsidRPr="003E3354">
              <w:rPr>
                <w:rFonts w:ascii="Times New Roman" w:hAnsi="Times New Roman" w:cs="Times New Roman"/>
              </w:rPr>
              <w:t>tugijaam paigaldatud neid nüansse arvestades (jaam on katusel, aga kiir võib sattuda ka alumise korruse rõdule).</w:t>
            </w:r>
            <w:r w:rsidR="00835BE5">
              <w:rPr>
                <w:rFonts w:ascii="Times New Roman" w:hAnsi="Times New Roman" w:cs="Times New Roman"/>
              </w:rPr>
              <w:t xml:space="preserve"> </w:t>
            </w:r>
            <w:r w:rsidR="00835BE5" w:rsidRPr="00835BE5">
              <w:rPr>
                <w:rFonts w:ascii="Times New Roman" w:hAnsi="Times New Roman" w:cs="Times New Roman"/>
              </w:rPr>
              <w:t xml:space="preserve">Seega ei piisa ainult märgistusest ega eeldusest, et „suund on kõrgemale“ – vaja on tõkestust või muud tehnilist lahendust, mis välistab kõrvaliste sattumise </w:t>
            </w:r>
            <w:r w:rsidR="00835BE5">
              <w:rPr>
                <w:rFonts w:ascii="Times New Roman" w:hAnsi="Times New Roman" w:cs="Times New Roman"/>
              </w:rPr>
              <w:t>ohutsooni.</w:t>
            </w:r>
          </w:p>
          <w:p w14:paraId="5BB2455F" w14:textId="77777777" w:rsidR="00835BE5" w:rsidRDefault="00835BE5" w:rsidP="00A265BC">
            <w:pPr>
              <w:spacing w:line="276" w:lineRule="auto"/>
              <w:jc w:val="both"/>
              <w:rPr>
                <w:rFonts w:ascii="Times New Roman" w:hAnsi="Times New Roman" w:cs="Times New Roman"/>
              </w:rPr>
            </w:pPr>
          </w:p>
          <w:p w14:paraId="6ADDEF0F" w14:textId="006DD0CD" w:rsidR="00A265BC" w:rsidRPr="003E3354" w:rsidRDefault="00723396" w:rsidP="00A265BC">
            <w:pPr>
              <w:spacing w:line="276" w:lineRule="auto"/>
              <w:jc w:val="both"/>
              <w:rPr>
                <w:rFonts w:ascii="Times New Roman" w:hAnsi="Times New Roman" w:cs="Times New Roman"/>
              </w:rPr>
            </w:pPr>
            <w:r w:rsidRPr="003E3354">
              <w:rPr>
                <w:rFonts w:ascii="Times New Roman" w:hAnsi="Times New Roman" w:cs="Times New Roman"/>
              </w:rPr>
              <w:t>Aktuaalne on teema ka peale mobiilsideantennide</w:t>
            </w:r>
            <w:r w:rsidR="007B0046" w:rsidRPr="003E3354">
              <w:rPr>
                <w:rFonts w:ascii="Times New Roman" w:hAnsi="Times New Roman" w:cs="Times New Roman"/>
              </w:rPr>
              <w:t>,</w:t>
            </w:r>
            <w:r w:rsidRPr="003E3354">
              <w:rPr>
                <w:rFonts w:ascii="Times New Roman" w:hAnsi="Times New Roman" w:cs="Times New Roman"/>
              </w:rPr>
              <w:t xml:space="preserve"> muude </w:t>
            </w:r>
            <w:r w:rsidR="00A265BC" w:rsidRPr="003E3354">
              <w:rPr>
                <w:rFonts w:ascii="Times New Roman" w:hAnsi="Times New Roman" w:cs="Times New Roman"/>
              </w:rPr>
              <w:t xml:space="preserve"> all</w:t>
            </w:r>
            <w:r w:rsidR="007B0046" w:rsidRPr="003E3354">
              <w:rPr>
                <w:rFonts w:ascii="Times New Roman" w:hAnsi="Times New Roman" w:cs="Times New Roman"/>
              </w:rPr>
              <w:t>ikate kontekstis,</w:t>
            </w:r>
            <w:r w:rsidR="00A265BC" w:rsidRPr="003E3354">
              <w:rPr>
                <w:rFonts w:ascii="Times New Roman" w:hAnsi="Times New Roman" w:cs="Times New Roman"/>
              </w:rPr>
              <w:t xml:space="preserve"> kus ohutsoonid on ümber antenni.</w:t>
            </w:r>
          </w:p>
          <w:p w14:paraId="401B9DD3" w14:textId="02D7F1D8" w:rsidR="00A265BC" w:rsidRPr="003E3354" w:rsidRDefault="00A265BC" w:rsidP="00A265BC">
            <w:pPr>
              <w:spacing w:line="276" w:lineRule="auto"/>
              <w:jc w:val="both"/>
              <w:rPr>
                <w:rFonts w:ascii="Times New Roman" w:hAnsi="Times New Roman" w:cs="Times New Roman"/>
              </w:rPr>
            </w:pPr>
            <w:r w:rsidRPr="003E3354">
              <w:rPr>
                <w:rFonts w:ascii="Times New Roman" w:hAnsi="Times New Roman" w:cs="Times New Roman"/>
              </w:rPr>
              <w:t>Säte on kooskõlas tänapäevase reaal</w:t>
            </w:r>
            <w:r w:rsidR="00366C07" w:rsidRPr="003E3354">
              <w:rPr>
                <w:rFonts w:ascii="Times New Roman" w:hAnsi="Times New Roman" w:cs="Times New Roman"/>
              </w:rPr>
              <w:t>olukorraga</w:t>
            </w:r>
            <w:r w:rsidR="00FB2A4D" w:rsidRPr="003E3354">
              <w:rPr>
                <w:rFonts w:ascii="Times New Roman" w:hAnsi="Times New Roman" w:cs="Times New Roman"/>
              </w:rPr>
              <w:t>.</w:t>
            </w:r>
          </w:p>
          <w:p w14:paraId="45B4A8AA" w14:textId="77777777" w:rsidR="002C7441" w:rsidRDefault="002C7441" w:rsidP="00A265BC">
            <w:pPr>
              <w:spacing w:line="276" w:lineRule="auto"/>
              <w:jc w:val="both"/>
              <w:rPr>
                <w:rFonts w:ascii="Times New Roman" w:hAnsi="Times New Roman" w:cs="Times New Roman"/>
                <w:b/>
                <w:bCs/>
              </w:rPr>
            </w:pPr>
          </w:p>
          <w:p w14:paraId="3E6BCC5D" w14:textId="3BD0A732" w:rsidR="002C7441" w:rsidRPr="0063306F" w:rsidRDefault="00B858F6" w:rsidP="00A265BC">
            <w:pPr>
              <w:spacing w:line="276" w:lineRule="auto"/>
              <w:jc w:val="both"/>
              <w:rPr>
                <w:rFonts w:ascii="Times New Roman" w:hAnsi="Times New Roman" w:cs="Times New Roman"/>
              </w:rPr>
            </w:pPr>
            <w:r>
              <w:rPr>
                <w:rFonts w:ascii="Times New Roman" w:hAnsi="Times New Roman" w:cs="Times New Roman"/>
              </w:rPr>
              <w:t>Mis puudutab k</w:t>
            </w:r>
            <w:r w:rsidR="70336437" w:rsidRPr="14A94AAC">
              <w:rPr>
                <w:rFonts w:ascii="Times New Roman" w:hAnsi="Times New Roman" w:cs="Times New Roman"/>
              </w:rPr>
              <w:t>orteriühistu</w:t>
            </w:r>
            <w:r>
              <w:rPr>
                <w:rFonts w:ascii="Times New Roman" w:hAnsi="Times New Roman" w:cs="Times New Roman"/>
              </w:rPr>
              <w:t>i</w:t>
            </w:r>
            <w:r w:rsidR="70336437" w:rsidRPr="14A94AAC">
              <w:rPr>
                <w:rFonts w:ascii="Times New Roman" w:hAnsi="Times New Roman" w:cs="Times New Roman"/>
              </w:rPr>
              <w:t>d ja mobiilsideoperaator</w:t>
            </w:r>
            <w:r>
              <w:rPr>
                <w:rFonts w:ascii="Times New Roman" w:hAnsi="Times New Roman" w:cs="Times New Roman"/>
              </w:rPr>
              <w:t>e</w:t>
            </w:r>
            <w:r w:rsidR="70336437" w:rsidRPr="14A94AAC">
              <w:rPr>
                <w:rFonts w:ascii="Times New Roman" w:hAnsi="Times New Roman" w:cs="Times New Roman"/>
              </w:rPr>
              <w:t>id</w:t>
            </w:r>
            <w:r>
              <w:rPr>
                <w:rFonts w:ascii="Times New Roman" w:hAnsi="Times New Roman" w:cs="Times New Roman"/>
              </w:rPr>
              <w:t>, siis kui nad</w:t>
            </w:r>
            <w:r w:rsidR="70336437" w:rsidRPr="14A94AAC">
              <w:rPr>
                <w:rFonts w:ascii="Times New Roman" w:hAnsi="Times New Roman" w:cs="Times New Roman"/>
              </w:rPr>
              <w:t xml:space="preserve"> rendilepingu teevad, peaksid juba operaatorid ette mõtlema võima</w:t>
            </w:r>
            <w:r>
              <w:rPr>
                <w:rFonts w:ascii="Times New Roman" w:hAnsi="Times New Roman" w:cs="Times New Roman"/>
              </w:rPr>
              <w:t>l</w:t>
            </w:r>
            <w:r w:rsidR="70336437" w:rsidRPr="14A94AAC">
              <w:rPr>
                <w:rFonts w:ascii="Times New Roman" w:hAnsi="Times New Roman" w:cs="Times New Roman"/>
              </w:rPr>
              <w:t>i</w:t>
            </w:r>
            <w:r>
              <w:rPr>
                <w:rFonts w:ascii="Times New Roman" w:hAnsi="Times New Roman" w:cs="Times New Roman"/>
              </w:rPr>
              <w:t>k</w:t>
            </w:r>
            <w:r w:rsidR="70336437" w:rsidRPr="14A94AAC">
              <w:rPr>
                <w:rFonts w:ascii="Times New Roman" w:hAnsi="Times New Roman" w:cs="Times New Roman"/>
              </w:rPr>
              <w:t xml:space="preserve">ele stsenaariumitele, mis </w:t>
            </w:r>
            <w:r>
              <w:rPr>
                <w:rFonts w:ascii="Times New Roman" w:hAnsi="Times New Roman" w:cs="Times New Roman"/>
              </w:rPr>
              <w:t>tekkida</w:t>
            </w:r>
            <w:r w:rsidR="70336437" w:rsidRPr="14A94AAC">
              <w:rPr>
                <w:rFonts w:ascii="Times New Roman" w:hAnsi="Times New Roman" w:cs="Times New Roman"/>
              </w:rPr>
              <w:t xml:space="preserve"> või</w:t>
            </w:r>
            <w:r>
              <w:rPr>
                <w:rFonts w:ascii="Times New Roman" w:hAnsi="Times New Roman" w:cs="Times New Roman"/>
              </w:rPr>
              <w:t>vad</w:t>
            </w:r>
            <w:r w:rsidR="70336437" w:rsidRPr="14A94AAC">
              <w:rPr>
                <w:rFonts w:ascii="Times New Roman" w:hAnsi="Times New Roman" w:cs="Times New Roman"/>
              </w:rPr>
              <w:t xml:space="preserve">, ehk mida ühistult nõuda, et rendileping oleks terviseohutuse seisukohast pädev. Reeglina </w:t>
            </w:r>
            <w:proofErr w:type="spellStart"/>
            <w:r w:rsidR="70336437" w:rsidRPr="14A94AAC">
              <w:rPr>
                <w:rFonts w:ascii="Times New Roman" w:hAnsi="Times New Roman" w:cs="Times New Roman"/>
              </w:rPr>
              <w:t>KÜ</w:t>
            </w:r>
            <w:r w:rsidR="66FC6D98" w:rsidRPr="14A94AAC">
              <w:rPr>
                <w:rFonts w:ascii="Times New Roman" w:hAnsi="Times New Roman" w:cs="Times New Roman"/>
              </w:rPr>
              <w:t>-l</w:t>
            </w:r>
            <w:proofErr w:type="spellEnd"/>
            <w:r w:rsidR="66FC6D98" w:rsidRPr="14A94AAC">
              <w:rPr>
                <w:rFonts w:ascii="Times New Roman" w:hAnsi="Times New Roman" w:cs="Times New Roman"/>
              </w:rPr>
              <w:t xml:space="preserve"> selles valdkonnas pädevus puudub.</w:t>
            </w:r>
          </w:p>
        </w:tc>
      </w:tr>
      <w:tr w:rsidR="00A265BC" w:rsidRPr="00D963AE" w14:paraId="0495F88C" w14:textId="77777777" w:rsidTr="14A94AAC">
        <w:trPr>
          <w:jc w:val="center"/>
        </w:trPr>
        <w:tc>
          <w:tcPr>
            <w:tcW w:w="1129" w:type="dxa"/>
            <w:shd w:val="clear" w:color="auto" w:fill="auto"/>
          </w:tcPr>
          <w:p w14:paraId="36A502F3" w14:textId="0569E4FC" w:rsidR="00A265BC" w:rsidRPr="00D963AE" w:rsidRDefault="00B55941" w:rsidP="00A265BC">
            <w:pPr>
              <w:spacing w:line="276" w:lineRule="auto"/>
              <w:jc w:val="both"/>
              <w:rPr>
                <w:rFonts w:ascii="Times New Roman" w:hAnsi="Times New Roman" w:cs="Times New Roman"/>
              </w:rPr>
            </w:pPr>
            <w:r>
              <w:rPr>
                <w:rFonts w:ascii="Times New Roman" w:hAnsi="Times New Roman" w:cs="Times New Roman"/>
              </w:rPr>
              <w:lastRenderedPageBreak/>
              <w:t>9.</w:t>
            </w:r>
          </w:p>
        </w:tc>
        <w:tc>
          <w:tcPr>
            <w:tcW w:w="7524" w:type="dxa"/>
          </w:tcPr>
          <w:p w14:paraId="0DC6D924" w14:textId="77777777" w:rsidR="00A265BC" w:rsidRPr="002C6C44" w:rsidRDefault="00A265BC" w:rsidP="00A265BC">
            <w:pPr>
              <w:jc w:val="both"/>
              <w:rPr>
                <w:rFonts w:ascii="Times New Roman" w:hAnsi="Times New Roman" w:cs="Times New Roman"/>
              </w:rPr>
            </w:pPr>
            <w:r w:rsidRPr="002C6C44">
              <w:rPr>
                <w:rFonts w:ascii="Times New Roman" w:hAnsi="Times New Roman" w:cs="Times New Roman"/>
              </w:rPr>
              <w:t>Väljatasemete vastavus piirväärtustele</w:t>
            </w:r>
          </w:p>
          <w:p w14:paraId="2084FD24" w14:textId="77777777" w:rsidR="00A265BC" w:rsidRPr="002C6C44" w:rsidRDefault="00A265BC" w:rsidP="00A265BC">
            <w:pPr>
              <w:jc w:val="both"/>
              <w:rPr>
                <w:rFonts w:ascii="Times New Roman" w:hAnsi="Times New Roman" w:cs="Times New Roman"/>
              </w:rPr>
            </w:pPr>
            <w:r w:rsidRPr="002C6C44">
              <w:rPr>
                <w:rFonts w:ascii="Times New Roman" w:hAnsi="Times New Roman" w:cs="Times New Roman"/>
              </w:rPr>
              <w:t>Eelnõu § 5 lõige 2 sätestab järgmist:</w:t>
            </w:r>
          </w:p>
          <w:p w14:paraId="28F0175C" w14:textId="77777777" w:rsidR="00A265BC" w:rsidRPr="002C6C44" w:rsidRDefault="00A265BC" w:rsidP="00A265BC">
            <w:pPr>
              <w:jc w:val="both"/>
              <w:rPr>
                <w:rFonts w:ascii="Times New Roman" w:hAnsi="Times New Roman" w:cs="Times New Roman"/>
              </w:rPr>
            </w:pPr>
            <w:r w:rsidRPr="002C6C44">
              <w:rPr>
                <w:rFonts w:ascii="Times New Roman" w:hAnsi="Times New Roman" w:cs="Times New Roman"/>
              </w:rPr>
              <w:t>„(2) Arvutatud, modelleeritud või mõõdetud summaarsed väljatasemed elukeskkonnas peavad</w:t>
            </w:r>
          </w:p>
          <w:p w14:paraId="1DBCF0A0" w14:textId="77777777" w:rsidR="00A265BC" w:rsidRPr="002C6C44" w:rsidRDefault="00A265BC" w:rsidP="00A265BC">
            <w:pPr>
              <w:jc w:val="both"/>
              <w:rPr>
                <w:rFonts w:ascii="Times New Roman" w:hAnsi="Times New Roman" w:cs="Times New Roman"/>
              </w:rPr>
            </w:pPr>
            <w:r w:rsidRPr="002C6C44">
              <w:rPr>
                <w:rFonts w:ascii="Times New Roman" w:hAnsi="Times New Roman" w:cs="Times New Roman"/>
              </w:rPr>
              <w:t>vastama määruse lisa tabelis esitatud piirväärtustele.“</w:t>
            </w:r>
          </w:p>
          <w:p w14:paraId="7467F98C" w14:textId="77777777" w:rsidR="00A265BC" w:rsidRPr="002C6C44" w:rsidRDefault="00A265BC" w:rsidP="00A265BC">
            <w:pPr>
              <w:jc w:val="both"/>
              <w:rPr>
                <w:rFonts w:ascii="Times New Roman" w:hAnsi="Times New Roman" w:cs="Times New Roman"/>
              </w:rPr>
            </w:pPr>
            <w:r w:rsidRPr="002C6C44">
              <w:rPr>
                <w:rFonts w:ascii="Times New Roman" w:hAnsi="Times New Roman" w:cs="Times New Roman"/>
              </w:rPr>
              <w:t>Meie hinnangul on tegemist eksitava sõnastusega, kuna nõutakse vastamist piirväärtustele, kuid</w:t>
            </w:r>
          </w:p>
          <w:p w14:paraId="2BEFF247" w14:textId="77777777" w:rsidR="00A265BC" w:rsidRDefault="00A265BC" w:rsidP="00A265BC">
            <w:pPr>
              <w:jc w:val="both"/>
              <w:rPr>
                <w:rFonts w:ascii="Times New Roman" w:hAnsi="Times New Roman" w:cs="Times New Roman"/>
              </w:rPr>
            </w:pPr>
            <w:r w:rsidRPr="002C6C44">
              <w:rPr>
                <w:rFonts w:ascii="Times New Roman" w:hAnsi="Times New Roman" w:cs="Times New Roman"/>
              </w:rPr>
              <w:t>tegelik mõte on see, et ei tohi ületada määrusega kehtestatud piirväärtusi. Alla piirväärtuse võib olla.</w:t>
            </w:r>
          </w:p>
          <w:p w14:paraId="20679941" w14:textId="77777777" w:rsidR="00A265BC" w:rsidRDefault="00A265BC" w:rsidP="00A265BC">
            <w:pPr>
              <w:jc w:val="both"/>
              <w:rPr>
                <w:rFonts w:ascii="Times New Roman" w:hAnsi="Times New Roman" w:cs="Times New Roman"/>
              </w:rPr>
            </w:pPr>
          </w:p>
          <w:p w14:paraId="05832375" w14:textId="77777777" w:rsidR="00A265BC" w:rsidRPr="00FD0156" w:rsidRDefault="00A265BC" w:rsidP="00A265BC">
            <w:pPr>
              <w:jc w:val="both"/>
              <w:rPr>
                <w:rFonts w:ascii="Times New Roman" w:hAnsi="Times New Roman" w:cs="Times New Roman"/>
              </w:rPr>
            </w:pPr>
            <w:r w:rsidRPr="00FD0156">
              <w:rPr>
                <w:rFonts w:ascii="Times New Roman" w:hAnsi="Times New Roman" w:cs="Times New Roman"/>
              </w:rPr>
              <w:t xml:space="preserve">Seetõttu teeme ettepaneku sõnastada § 5 lg 2 järgmiselt: </w:t>
            </w:r>
          </w:p>
          <w:p w14:paraId="736EF1C0" w14:textId="12F4056A" w:rsidR="00A265BC" w:rsidRPr="00D963AE" w:rsidRDefault="00A265BC" w:rsidP="00A265BC">
            <w:pPr>
              <w:jc w:val="both"/>
              <w:rPr>
                <w:rFonts w:ascii="Times New Roman" w:hAnsi="Times New Roman" w:cs="Times New Roman"/>
              </w:rPr>
            </w:pPr>
            <w:r w:rsidRPr="00FD0156">
              <w:rPr>
                <w:rFonts w:ascii="Times New Roman" w:hAnsi="Times New Roman" w:cs="Times New Roman"/>
              </w:rPr>
              <w:t xml:space="preserve">„(2) </w:t>
            </w:r>
            <w:r w:rsidRPr="00FD0156">
              <w:rPr>
                <w:rFonts w:ascii="Times New Roman" w:hAnsi="Times New Roman" w:cs="Times New Roman"/>
                <w:i/>
                <w:iCs/>
              </w:rPr>
              <w:t>Arvutatud, modelleeritud või mõõdetud summaarsed väljatasemed elukeskkonnas ei tohi ületada määruse lisa tabelis esitatud piirväärtusi.</w:t>
            </w:r>
            <w:r w:rsidRPr="00FD0156">
              <w:rPr>
                <w:rFonts w:ascii="Times New Roman" w:hAnsi="Times New Roman" w:cs="Times New Roman"/>
              </w:rPr>
              <w:t>“</w:t>
            </w:r>
          </w:p>
        </w:tc>
        <w:tc>
          <w:tcPr>
            <w:tcW w:w="5676" w:type="dxa"/>
          </w:tcPr>
          <w:p w14:paraId="023D4BEA" w14:textId="613867A3" w:rsidR="00A265BC" w:rsidRPr="00D963AE" w:rsidRDefault="002A0208" w:rsidP="00A265BC">
            <w:pPr>
              <w:spacing w:line="276" w:lineRule="auto"/>
              <w:jc w:val="both"/>
              <w:rPr>
                <w:rFonts w:ascii="Times New Roman" w:hAnsi="Times New Roman" w:cs="Times New Roman"/>
                <w:b/>
                <w:bCs/>
              </w:rPr>
            </w:pPr>
            <w:r>
              <w:rPr>
                <w:rFonts w:ascii="Times New Roman" w:hAnsi="Times New Roman" w:cs="Times New Roman"/>
                <w:b/>
                <w:bCs/>
              </w:rPr>
              <w:t xml:space="preserve">Arvestatud. </w:t>
            </w:r>
            <w:r w:rsidRPr="002A0208">
              <w:rPr>
                <w:rFonts w:ascii="Times New Roman" w:hAnsi="Times New Roman" w:cs="Times New Roman"/>
              </w:rPr>
              <w:t>Eelnõu sõnastust muudetud</w:t>
            </w:r>
            <w:r w:rsidR="002B1BB7">
              <w:rPr>
                <w:rFonts w:ascii="Times New Roman" w:hAnsi="Times New Roman" w:cs="Times New Roman"/>
              </w:rPr>
              <w:t>.</w:t>
            </w:r>
          </w:p>
        </w:tc>
      </w:tr>
      <w:tr w:rsidR="00A265BC" w:rsidRPr="00D963AE" w14:paraId="70A16643" w14:textId="77777777" w:rsidTr="14A94AAC">
        <w:trPr>
          <w:jc w:val="center"/>
        </w:trPr>
        <w:tc>
          <w:tcPr>
            <w:tcW w:w="1129" w:type="dxa"/>
            <w:shd w:val="clear" w:color="auto" w:fill="auto"/>
          </w:tcPr>
          <w:p w14:paraId="086CD09B" w14:textId="409648CD" w:rsidR="00A265BC" w:rsidRPr="00D963AE" w:rsidRDefault="00A265BC" w:rsidP="00A265BC">
            <w:pPr>
              <w:spacing w:line="276" w:lineRule="auto"/>
              <w:jc w:val="both"/>
              <w:rPr>
                <w:rFonts w:ascii="Times New Roman" w:hAnsi="Times New Roman" w:cs="Times New Roman"/>
              </w:rPr>
            </w:pPr>
          </w:p>
        </w:tc>
        <w:tc>
          <w:tcPr>
            <w:tcW w:w="7524" w:type="dxa"/>
          </w:tcPr>
          <w:p w14:paraId="518B8830" w14:textId="170822D9" w:rsidR="00A265BC" w:rsidRPr="00FD0156" w:rsidRDefault="00A265BC" w:rsidP="00A265BC">
            <w:pPr>
              <w:jc w:val="both"/>
              <w:rPr>
                <w:rFonts w:ascii="Times New Roman" w:hAnsi="Times New Roman" w:cs="Times New Roman"/>
                <w:b/>
                <w:bCs/>
              </w:rPr>
            </w:pPr>
            <w:r w:rsidRPr="00FD0156">
              <w:rPr>
                <w:rFonts w:ascii="Times New Roman" w:hAnsi="Times New Roman" w:cs="Times New Roman"/>
                <w:b/>
                <w:bCs/>
              </w:rPr>
              <w:t>MTÜ Kogukonna hüvanguks</w:t>
            </w:r>
          </w:p>
        </w:tc>
        <w:tc>
          <w:tcPr>
            <w:tcW w:w="5676" w:type="dxa"/>
          </w:tcPr>
          <w:p w14:paraId="70F48BBB" w14:textId="2E2D9CB9" w:rsidR="00A265BC" w:rsidRPr="00D963AE" w:rsidRDefault="00A265BC" w:rsidP="00A265BC">
            <w:pPr>
              <w:spacing w:line="276" w:lineRule="auto"/>
              <w:jc w:val="both"/>
              <w:rPr>
                <w:rFonts w:ascii="Times New Roman" w:hAnsi="Times New Roman" w:cs="Times New Roman"/>
                <w:b/>
                <w:bCs/>
              </w:rPr>
            </w:pPr>
          </w:p>
        </w:tc>
      </w:tr>
      <w:tr w:rsidR="00A265BC" w:rsidRPr="00D963AE" w14:paraId="18A77464" w14:textId="77777777" w:rsidTr="14A94AAC">
        <w:trPr>
          <w:jc w:val="center"/>
        </w:trPr>
        <w:tc>
          <w:tcPr>
            <w:tcW w:w="1129" w:type="dxa"/>
            <w:shd w:val="clear" w:color="auto" w:fill="auto"/>
          </w:tcPr>
          <w:p w14:paraId="555E1335" w14:textId="6073A734" w:rsidR="00A265BC" w:rsidRPr="00D963AE" w:rsidRDefault="00A265BC" w:rsidP="00A265BC">
            <w:pPr>
              <w:spacing w:line="276" w:lineRule="auto"/>
              <w:jc w:val="both"/>
              <w:rPr>
                <w:rFonts w:ascii="Times New Roman" w:hAnsi="Times New Roman" w:cs="Times New Roman"/>
              </w:rPr>
            </w:pPr>
          </w:p>
        </w:tc>
        <w:tc>
          <w:tcPr>
            <w:tcW w:w="7524" w:type="dxa"/>
          </w:tcPr>
          <w:p w14:paraId="7045A40D" w14:textId="77777777" w:rsidR="00A265BC" w:rsidRPr="000952EF" w:rsidRDefault="00A265BC" w:rsidP="00A265BC">
            <w:pPr>
              <w:jc w:val="both"/>
              <w:rPr>
                <w:rFonts w:ascii="Times New Roman" w:hAnsi="Times New Roman" w:cs="Times New Roman"/>
              </w:rPr>
            </w:pPr>
            <w:r w:rsidRPr="000952EF">
              <w:rPr>
                <w:rFonts w:ascii="Times New Roman" w:hAnsi="Times New Roman" w:cs="Times New Roman"/>
              </w:rPr>
              <w:t>§ 2 Määruse eesmärk</w:t>
            </w:r>
          </w:p>
          <w:p w14:paraId="1513CE6B" w14:textId="3AB38786" w:rsidR="00A265BC" w:rsidRPr="00D963AE" w:rsidRDefault="00A265BC" w:rsidP="00A265BC">
            <w:pPr>
              <w:jc w:val="both"/>
              <w:rPr>
                <w:rFonts w:ascii="Times New Roman" w:hAnsi="Times New Roman" w:cs="Times New Roman"/>
              </w:rPr>
            </w:pPr>
            <w:r w:rsidRPr="000952EF">
              <w:rPr>
                <w:rFonts w:ascii="Times New Roman" w:hAnsi="Times New Roman" w:cs="Times New Roman"/>
              </w:rPr>
              <w:t>Me ei kiida heaks uues eelnõus määruse eesmärgi „lahjendamist” – selle asemel, et tagada tervisele ohutu elukeskkond ja vältida mitteioniseeriva kiirguse toimega seonduvaid tervisehäireid ja haigusi, nagu sätestab hetkel kehtiv määrus, on uue määruse eesmärk üksnes vähendada tehiselektromagnet-väljade toimest tuleneda võivaid terviseriske elukeskkonnas. Sellest järeldame, et ka eelnõu koostajad mõistavad, et määruse lisas toodud piirväärtused ei ole piisavad terviseohu vältimiseks ning selle poole ka ei püüelda, mis on kahetsusväärne.</w:t>
            </w:r>
          </w:p>
        </w:tc>
        <w:tc>
          <w:tcPr>
            <w:tcW w:w="5676" w:type="dxa"/>
          </w:tcPr>
          <w:p w14:paraId="33E2A382" w14:textId="2D2BB6E7" w:rsidR="00A265BC" w:rsidRPr="00D963AE" w:rsidRDefault="00C476C0" w:rsidP="14A94AAC">
            <w:pPr>
              <w:spacing w:line="276" w:lineRule="auto"/>
              <w:jc w:val="both"/>
              <w:rPr>
                <w:rFonts w:ascii="Times New Roman" w:hAnsi="Times New Roman" w:cs="Times New Roman"/>
              </w:rPr>
            </w:pPr>
            <w:r w:rsidRPr="14A94AAC">
              <w:rPr>
                <w:rFonts w:ascii="Times New Roman" w:hAnsi="Times New Roman" w:cs="Times New Roman"/>
                <w:b/>
                <w:bCs/>
              </w:rPr>
              <w:t xml:space="preserve">Selgitatud. </w:t>
            </w:r>
            <w:r w:rsidRPr="14A94AAC">
              <w:rPr>
                <w:rFonts w:ascii="Times New Roman" w:hAnsi="Times New Roman" w:cs="Times New Roman"/>
              </w:rPr>
              <w:t>Kindlasti pole eesmärk lahjendada määruse eesmärki,</w:t>
            </w:r>
            <w:r w:rsidR="64A4F8B3" w:rsidRPr="14A94AAC">
              <w:rPr>
                <w:rFonts w:ascii="Times New Roman" w:hAnsi="Times New Roman" w:cs="Times New Roman"/>
              </w:rPr>
              <w:t xml:space="preserve"> vaid sõnastus on ajakohastatud, et see oleks kooskõlas rahvusvahelise teadusliku arusaama ja rahvatervis</w:t>
            </w:r>
            <w:r w:rsidR="00DF23B6">
              <w:rPr>
                <w:rFonts w:ascii="Times New Roman" w:hAnsi="Times New Roman" w:cs="Times New Roman"/>
              </w:rPr>
              <w:t>hoiu</w:t>
            </w:r>
            <w:r w:rsidR="64A4F8B3" w:rsidRPr="14A94AAC">
              <w:rPr>
                <w:rFonts w:ascii="Times New Roman" w:hAnsi="Times New Roman" w:cs="Times New Roman"/>
              </w:rPr>
              <w:t xml:space="preserve"> õigusruumi üldpõhimõtetega.</w:t>
            </w:r>
            <w:r w:rsidR="1077E5EA" w:rsidRPr="14A94AAC">
              <w:rPr>
                <w:rFonts w:ascii="Times New Roman" w:hAnsi="Times New Roman" w:cs="Times New Roman"/>
              </w:rPr>
              <w:t xml:space="preserve"> Uues määruse eelnõus sätestatud piirväärtused põhinevad Rahvusvahelise Mitteioniseeriva Kiirguse Kaitse Komisjoni (ICNIRP) teaduspõhistel soovitustel, mida toetavad ka Maailma Terviseorganisatsioon (WHO) ja Euroopa Komisjon. Need piirväärtused on seatud nii, et vältida tõenduspõhiselt kinnitatud terviseriske, sealhulgas pikaajalisi mõjusid. Kehtiva määruse varasem sõnastus („vältida tervisehäireid ja haigusi”) viitas laiemale eesmärgile, mida teaduslikult ei ole võimalik õigusaktiga tagada.</w:t>
            </w:r>
            <w:r w:rsidR="7462548C" w:rsidRPr="14A94AAC">
              <w:rPr>
                <w:rFonts w:ascii="Times New Roman" w:hAnsi="Times New Roman" w:cs="Times New Roman"/>
              </w:rPr>
              <w:t xml:space="preserve"> </w:t>
            </w:r>
            <w:r w:rsidR="341201AA" w:rsidRPr="14A94AAC">
              <w:rPr>
                <w:rFonts w:ascii="Times New Roman" w:hAnsi="Times New Roman" w:cs="Times New Roman"/>
              </w:rPr>
              <w:t>Elanike tervist, heaolu ja turvalisust toetava elukeskkonna kujundamise põhimõte</w:t>
            </w:r>
            <w:r w:rsidR="7462548C" w:rsidRPr="14A94AAC">
              <w:rPr>
                <w:rFonts w:ascii="Times New Roman" w:hAnsi="Times New Roman" w:cs="Times New Roman"/>
              </w:rPr>
              <w:t xml:space="preserve"> on sätestatud</w:t>
            </w:r>
            <w:r w:rsidR="13C370BB" w:rsidRPr="14A94AAC">
              <w:rPr>
                <w:rFonts w:ascii="Times New Roman" w:hAnsi="Times New Roman" w:cs="Times New Roman"/>
              </w:rPr>
              <w:t xml:space="preserve"> ka</w:t>
            </w:r>
            <w:r w:rsidR="7462548C" w:rsidRPr="14A94AAC">
              <w:rPr>
                <w:rFonts w:ascii="Times New Roman" w:hAnsi="Times New Roman" w:cs="Times New Roman"/>
              </w:rPr>
              <w:t xml:space="preserve"> rahvatervishoiu seaduses</w:t>
            </w:r>
            <w:r w:rsidR="652F8C0B" w:rsidRPr="14A94AAC">
              <w:rPr>
                <w:rFonts w:ascii="Times New Roman" w:hAnsi="Times New Roman" w:cs="Times New Roman"/>
              </w:rPr>
              <w:t xml:space="preserve"> (mille alusel määrus kehtestatakse)</w:t>
            </w:r>
            <w:r w:rsidR="7462548C" w:rsidRPr="14A94AAC">
              <w:rPr>
                <w:rFonts w:ascii="Times New Roman" w:hAnsi="Times New Roman" w:cs="Times New Roman"/>
              </w:rPr>
              <w:t>.</w:t>
            </w:r>
          </w:p>
        </w:tc>
      </w:tr>
      <w:tr w:rsidR="00A265BC" w:rsidRPr="00D963AE" w14:paraId="1E9186D9" w14:textId="77777777" w:rsidTr="14A94AAC">
        <w:trPr>
          <w:jc w:val="center"/>
        </w:trPr>
        <w:tc>
          <w:tcPr>
            <w:tcW w:w="1129" w:type="dxa"/>
            <w:shd w:val="clear" w:color="auto" w:fill="auto"/>
          </w:tcPr>
          <w:p w14:paraId="6B28E2B6" w14:textId="64575E7B" w:rsidR="00A265BC" w:rsidRPr="00D963AE" w:rsidRDefault="00A265BC" w:rsidP="00A265BC">
            <w:pPr>
              <w:spacing w:line="276" w:lineRule="auto"/>
              <w:jc w:val="both"/>
              <w:rPr>
                <w:rFonts w:ascii="Times New Roman" w:hAnsi="Times New Roman" w:cs="Times New Roman"/>
              </w:rPr>
            </w:pPr>
          </w:p>
        </w:tc>
        <w:tc>
          <w:tcPr>
            <w:tcW w:w="7524" w:type="dxa"/>
          </w:tcPr>
          <w:p w14:paraId="3D617EF2" w14:textId="77777777" w:rsidR="00A265BC" w:rsidRPr="00716BBB" w:rsidRDefault="00A265BC" w:rsidP="00A265BC">
            <w:pPr>
              <w:jc w:val="both"/>
              <w:rPr>
                <w:rFonts w:ascii="Times New Roman" w:hAnsi="Times New Roman" w:cs="Times New Roman"/>
              </w:rPr>
            </w:pPr>
            <w:r w:rsidRPr="00716BBB">
              <w:rPr>
                <w:rFonts w:ascii="Times New Roman" w:hAnsi="Times New Roman" w:cs="Times New Roman"/>
              </w:rPr>
              <w:t>§ 5 (1) Mitteioniseeriva kiirguse hindamise kord</w:t>
            </w:r>
          </w:p>
          <w:p w14:paraId="604FD24B" w14:textId="77777777" w:rsidR="00A265BC" w:rsidRPr="00716BBB" w:rsidRDefault="00A265BC" w:rsidP="00A265BC">
            <w:pPr>
              <w:jc w:val="both"/>
              <w:rPr>
                <w:rFonts w:ascii="Times New Roman" w:hAnsi="Times New Roman" w:cs="Times New Roman"/>
              </w:rPr>
            </w:pPr>
            <w:r w:rsidRPr="00716BBB">
              <w:rPr>
                <w:rFonts w:ascii="Times New Roman" w:hAnsi="Times New Roman" w:cs="Times New Roman"/>
              </w:rPr>
              <w:t xml:space="preserve">Me ei saa nõustuda sellega, et mitteioniseerivat kiirgust hinnatakse üksnes vastavalt </w:t>
            </w:r>
            <w:proofErr w:type="spellStart"/>
            <w:r w:rsidRPr="00716BBB">
              <w:rPr>
                <w:rFonts w:ascii="Times New Roman" w:hAnsi="Times New Roman" w:cs="Times New Roman"/>
              </w:rPr>
              <w:t>ICNIRPi</w:t>
            </w:r>
            <w:proofErr w:type="spellEnd"/>
            <w:r w:rsidRPr="00716BBB">
              <w:rPr>
                <w:rFonts w:ascii="Times New Roman" w:hAnsi="Times New Roman" w:cs="Times New Roman"/>
              </w:rPr>
              <w:t xml:space="preserve"> ja Rahvusvahelise Telekommunikatsiooni Liidu soovitustele!</w:t>
            </w:r>
          </w:p>
          <w:p w14:paraId="714372EA" w14:textId="77777777" w:rsidR="00A265BC" w:rsidRPr="00716BBB" w:rsidRDefault="00A265BC" w:rsidP="00A265BC">
            <w:pPr>
              <w:jc w:val="both"/>
              <w:rPr>
                <w:rFonts w:ascii="Times New Roman" w:hAnsi="Times New Roman" w:cs="Times New Roman"/>
              </w:rPr>
            </w:pPr>
            <w:r w:rsidRPr="00716BBB">
              <w:rPr>
                <w:rFonts w:ascii="Times New Roman" w:hAnsi="Times New Roman" w:cs="Times New Roman"/>
              </w:rPr>
              <w:lastRenderedPageBreak/>
              <w:t xml:space="preserve">Tuletame meelde Eesti teadlaste seisukohta 5GEMF1 lõpparuandes (lk 4): „...on oluline välja tuua, et paljudes eksperimentaalsetes ja ka osades epidemioloogilistes uuringutes tuvastatud [bioloogilised ja tervise]mõjud on avaldunud raadiokiirguse tasemete juures, mis on oluliselt madalamad ICNIRP soovitatud piirväärtustest. Eksperimentaaluuringute andmebaasi analüüs näitas, et 46 uuringust, mis tuvastasid raadiokiirguse mõju, 44 olid tehtud kiirguse tasemetel alla </w:t>
            </w:r>
            <w:proofErr w:type="spellStart"/>
            <w:r w:rsidRPr="00716BBB">
              <w:rPr>
                <w:rFonts w:ascii="Times New Roman" w:hAnsi="Times New Roman" w:cs="Times New Roman"/>
              </w:rPr>
              <w:t>ICNIRPi</w:t>
            </w:r>
            <w:proofErr w:type="spellEnd"/>
            <w:r w:rsidRPr="00716BBB">
              <w:rPr>
                <w:rFonts w:ascii="Times New Roman" w:hAnsi="Times New Roman" w:cs="Times New Roman"/>
              </w:rPr>
              <w:t xml:space="preserve"> soovitatava piirväärtuse.”/.../ „Erinevates Euroopa Liidu riikides kehtivad normatiivid järgivad </w:t>
            </w:r>
            <w:proofErr w:type="spellStart"/>
            <w:r w:rsidRPr="00716BBB">
              <w:rPr>
                <w:rFonts w:ascii="Times New Roman" w:hAnsi="Times New Roman" w:cs="Times New Roman"/>
              </w:rPr>
              <w:t>ICNIRPi</w:t>
            </w:r>
            <w:proofErr w:type="spellEnd"/>
            <w:r w:rsidRPr="00716BBB">
              <w:rPr>
                <w:rFonts w:ascii="Times New Roman" w:hAnsi="Times New Roman" w:cs="Times New Roman"/>
              </w:rPr>
              <w:t xml:space="preserve"> soovitusi lähtudes peamiselt poliitilistest otsustest normatiivide harmoniseerimiseks. Kehtivad normatiivid ei ole arvestanud raadiokiirguse mittesoojusliku mõju olemasolu, pikaajalist mõju ega ka vajadust nii kõrgete piirväärtuste järele .”</w:t>
            </w:r>
          </w:p>
          <w:p w14:paraId="1A8E5DC6" w14:textId="439C7BE2" w:rsidR="00A265BC" w:rsidRPr="00716BBB" w:rsidRDefault="00A265BC" w:rsidP="00A265BC">
            <w:pPr>
              <w:jc w:val="both"/>
              <w:rPr>
                <w:rFonts w:ascii="Times New Roman" w:hAnsi="Times New Roman" w:cs="Times New Roman"/>
              </w:rPr>
            </w:pPr>
            <w:r w:rsidRPr="00716BBB">
              <w:rPr>
                <w:rFonts w:ascii="Times New Roman" w:hAnsi="Times New Roman" w:cs="Times New Roman"/>
              </w:rPr>
              <w:t xml:space="preserve">Lisaks sellele – nagu oleme korduvalt viidanud ja rõhutanud – on Europarlamendi saadikute analüüs näidanud </w:t>
            </w:r>
            <w:proofErr w:type="spellStart"/>
            <w:r w:rsidRPr="00716BBB">
              <w:rPr>
                <w:rFonts w:ascii="Times New Roman" w:hAnsi="Times New Roman" w:cs="Times New Roman"/>
              </w:rPr>
              <w:t>ICNIRPi</w:t>
            </w:r>
            <w:proofErr w:type="spellEnd"/>
            <w:r w:rsidRPr="00716BBB">
              <w:rPr>
                <w:rFonts w:ascii="Times New Roman" w:hAnsi="Times New Roman" w:cs="Times New Roman"/>
              </w:rPr>
              <w:t xml:space="preserve"> kui institutsiooni olevat korruptiivse, ebausaldusväärse ja ühe poole, s.o telekomitööstuse huvisid kaitsva organisatsioonina. </w:t>
            </w:r>
            <w:proofErr w:type="spellStart"/>
            <w:r w:rsidRPr="00716BBB">
              <w:rPr>
                <w:rFonts w:ascii="Times New Roman" w:hAnsi="Times New Roman" w:cs="Times New Roman"/>
              </w:rPr>
              <w:t>ICNIRPi</w:t>
            </w:r>
            <w:proofErr w:type="spellEnd"/>
            <w:r w:rsidRPr="00716BBB">
              <w:rPr>
                <w:rFonts w:ascii="Times New Roman" w:hAnsi="Times New Roman" w:cs="Times New Roman"/>
              </w:rPr>
              <w:t xml:space="preserve"> piirväärtused ei kaitse mitte ühtegi elusolendit ja edendavad üksnes tööstuse huve. On kuritegelik nende pilli järgi tantsida, tuues sellega ohvriks Eesti inimeste tervise!</w:t>
            </w:r>
          </w:p>
        </w:tc>
        <w:tc>
          <w:tcPr>
            <w:tcW w:w="5676" w:type="dxa"/>
          </w:tcPr>
          <w:p w14:paraId="62B03FEE" w14:textId="02C22AF3" w:rsidR="00A265BC" w:rsidRPr="00D963AE" w:rsidRDefault="57F64ACB" w:rsidP="00A265BC">
            <w:pPr>
              <w:spacing w:line="276" w:lineRule="auto"/>
              <w:jc w:val="both"/>
              <w:rPr>
                <w:rFonts w:ascii="Times New Roman" w:hAnsi="Times New Roman" w:cs="Times New Roman"/>
                <w:b/>
                <w:bCs/>
              </w:rPr>
            </w:pPr>
            <w:r w:rsidRPr="14A94AAC">
              <w:rPr>
                <w:rFonts w:ascii="Times New Roman" w:hAnsi="Times New Roman" w:cs="Times New Roman"/>
                <w:b/>
                <w:bCs/>
              </w:rPr>
              <w:lastRenderedPageBreak/>
              <w:t>Arvestatud</w:t>
            </w:r>
            <w:r w:rsidR="00307162">
              <w:rPr>
                <w:rFonts w:ascii="Times New Roman" w:hAnsi="Times New Roman" w:cs="Times New Roman"/>
                <w:b/>
                <w:bCs/>
              </w:rPr>
              <w:t xml:space="preserve"> ja selgitatud</w:t>
            </w:r>
            <w:r w:rsidRPr="14A94AAC">
              <w:rPr>
                <w:rFonts w:ascii="Times New Roman" w:hAnsi="Times New Roman" w:cs="Times New Roman"/>
                <w:b/>
                <w:bCs/>
              </w:rPr>
              <w:t xml:space="preserve">. </w:t>
            </w:r>
            <w:r w:rsidRPr="14A94AAC">
              <w:rPr>
                <w:rFonts w:ascii="Times New Roman" w:hAnsi="Times New Roman" w:cs="Times New Roman"/>
              </w:rPr>
              <w:t>Eelnõu sõnastust laiendatud</w:t>
            </w:r>
            <w:r w:rsidR="00307162">
              <w:rPr>
                <w:rFonts w:ascii="Times New Roman" w:hAnsi="Times New Roman" w:cs="Times New Roman"/>
              </w:rPr>
              <w:t>.</w:t>
            </w:r>
            <w:r w:rsidR="00307162">
              <w:rPr>
                <w:rFonts w:ascii="Times New Roman" w:hAnsi="Times New Roman" w:cs="Times New Roman"/>
              </w:rPr>
              <w:br/>
              <w:t>Määrus</w:t>
            </w:r>
            <w:r w:rsidR="00307162" w:rsidRPr="00307162">
              <w:rPr>
                <w:rFonts w:ascii="Times New Roman" w:hAnsi="Times New Roman" w:cs="Times New Roman"/>
              </w:rPr>
              <w:t xml:space="preserve"> tugineb Rahvusvahelise Mitteioniseeriva Kiirguse </w:t>
            </w:r>
            <w:r w:rsidR="00307162" w:rsidRPr="00307162">
              <w:rPr>
                <w:rFonts w:ascii="Times New Roman" w:hAnsi="Times New Roman" w:cs="Times New Roman"/>
              </w:rPr>
              <w:lastRenderedPageBreak/>
              <w:t xml:space="preserve">Kaitse Komisjoni (ICNIRP) soovitustele, kuna tegemist on sõltumatu teadusliku eksperdiorganisatsiooniga, mille soovitusi tunnustavad Maailma Terviseorganisatsioon (WHO), Euroopa Komisjon ja Euroopa Nõukogu. Euroopa Liidu direktiiv 2013/35/EL, mis reguleerib töötajate elektromagnetväljadega kokkupuudet, põhineb samuti </w:t>
            </w:r>
            <w:proofErr w:type="spellStart"/>
            <w:r w:rsidR="00307162" w:rsidRPr="00307162">
              <w:rPr>
                <w:rFonts w:ascii="Times New Roman" w:hAnsi="Times New Roman" w:cs="Times New Roman"/>
              </w:rPr>
              <w:t>ICNIRPi</w:t>
            </w:r>
            <w:proofErr w:type="spellEnd"/>
            <w:r w:rsidR="00307162" w:rsidRPr="00307162">
              <w:rPr>
                <w:rFonts w:ascii="Times New Roman" w:hAnsi="Times New Roman" w:cs="Times New Roman"/>
              </w:rPr>
              <w:t xml:space="preserve"> soovitustel. See tagab, et Eesti õigusruum oleks kooskõlas ELi ühise raamistikuga.</w:t>
            </w:r>
            <w:r w:rsidR="002F29EB">
              <w:t xml:space="preserve"> </w:t>
            </w:r>
            <w:r w:rsidR="002F29EB" w:rsidRPr="002F29EB">
              <w:rPr>
                <w:rFonts w:ascii="Times New Roman" w:hAnsi="Times New Roman" w:cs="Times New Roman"/>
              </w:rPr>
              <w:t xml:space="preserve">On tõsi, et teaduskirjanduses on leitud bioloogilisi mõjusid ka madalamatel väljatasemetel, kuid nende mõju mehhanismid, korduvus ja </w:t>
            </w:r>
            <w:r w:rsidR="00E5034D">
              <w:rPr>
                <w:rFonts w:ascii="Times New Roman" w:hAnsi="Times New Roman" w:cs="Times New Roman"/>
              </w:rPr>
              <w:t>tõendatud mõju</w:t>
            </w:r>
            <w:r w:rsidR="002F29EB" w:rsidRPr="002F29EB">
              <w:rPr>
                <w:rFonts w:ascii="Times New Roman" w:hAnsi="Times New Roman" w:cs="Times New Roman"/>
              </w:rPr>
              <w:t xml:space="preserve"> inimeste tervisele ei ole rahvusvaheliselt kinnitust leidnud. WHO on oma 2014. aasta EMF faktilehtedes</w:t>
            </w:r>
            <w:r w:rsidR="0073145A">
              <w:rPr>
                <w:rFonts w:ascii="Times New Roman" w:hAnsi="Times New Roman" w:cs="Times New Roman"/>
              </w:rPr>
              <w:t xml:space="preserve"> (</w:t>
            </w:r>
            <w:r w:rsidR="00434656" w:rsidRPr="00434656">
              <w:rPr>
                <w:rFonts w:ascii="Times New Roman" w:hAnsi="Times New Roman" w:cs="Times New Roman"/>
              </w:rPr>
              <w:t>https://www.who.int/teams/environment-climate-change-and-health/radiation-and-health/non-ionizing/emf</w:t>
            </w:r>
            <w:r w:rsidR="00434656">
              <w:rPr>
                <w:rFonts w:ascii="Times New Roman" w:hAnsi="Times New Roman" w:cs="Times New Roman"/>
              </w:rPr>
              <w:t>)</w:t>
            </w:r>
            <w:r w:rsidR="002F29EB" w:rsidRPr="002F29EB">
              <w:rPr>
                <w:rFonts w:ascii="Times New Roman" w:hAnsi="Times New Roman" w:cs="Times New Roman"/>
              </w:rPr>
              <w:t xml:space="preserve"> ning ICNIRP oma 2020. aasta suunistes</w:t>
            </w:r>
            <w:r w:rsidR="00CC0549">
              <w:rPr>
                <w:rFonts w:ascii="Times New Roman" w:hAnsi="Times New Roman" w:cs="Times New Roman"/>
              </w:rPr>
              <w:t xml:space="preserve"> (</w:t>
            </w:r>
            <w:r w:rsidR="00CC0549" w:rsidRPr="00CC0549">
              <w:rPr>
                <w:rFonts w:ascii="Times New Roman" w:hAnsi="Times New Roman" w:cs="Times New Roman"/>
              </w:rPr>
              <w:t>https://www.icnirp.org/cms/upload/publications/ICNIRPrfgdl2020.pdf</w:t>
            </w:r>
            <w:r w:rsidR="00CC0549">
              <w:rPr>
                <w:rFonts w:ascii="Times New Roman" w:hAnsi="Times New Roman" w:cs="Times New Roman"/>
              </w:rPr>
              <w:t>)</w:t>
            </w:r>
            <w:r w:rsidR="002F29EB" w:rsidRPr="002F29EB">
              <w:rPr>
                <w:rFonts w:ascii="Times New Roman" w:hAnsi="Times New Roman" w:cs="Times New Roman"/>
              </w:rPr>
              <w:t xml:space="preserve"> rõhutanud, et seni puudub teaduslikult konsensus, mis </w:t>
            </w:r>
            <w:r w:rsidR="008E2B1A">
              <w:rPr>
                <w:rFonts w:ascii="Times New Roman" w:hAnsi="Times New Roman" w:cs="Times New Roman"/>
              </w:rPr>
              <w:t>võimaldaks</w:t>
            </w:r>
            <w:r w:rsidR="002F29EB" w:rsidRPr="002F29EB">
              <w:rPr>
                <w:rFonts w:ascii="Times New Roman" w:hAnsi="Times New Roman" w:cs="Times New Roman"/>
              </w:rPr>
              <w:t xml:space="preserve"> mittesoojuslike mõjude põhjal kehtestada täiendavaid</w:t>
            </w:r>
            <w:r w:rsidR="0042770A">
              <w:rPr>
                <w:rFonts w:ascii="Times New Roman" w:hAnsi="Times New Roman" w:cs="Times New Roman"/>
              </w:rPr>
              <w:t xml:space="preserve"> või rangemaid</w:t>
            </w:r>
            <w:r w:rsidR="002F29EB" w:rsidRPr="002F29EB">
              <w:rPr>
                <w:rFonts w:ascii="Times New Roman" w:hAnsi="Times New Roman" w:cs="Times New Roman"/>
              </w:rPr>
              <w:t xml:space="preserve"> piirväärtusi. Samas jätkatakse uuringuid, sealhulgas Euroopa Liidu teadusraamistiku projektides. Eesti ei kehtest</w:t>
            </w:r>
            <w:r w:rsidR="008E2B1A">
              <w:rPr>
                <w:rFonts w:ascii="Times New Roman" w:hAnsi="Times New Roman" w:cs="Times New Roman"/>
              </w:rPr>
              <w:t>a</w:t>
            </w:r>
            <w:r w:rsidR="002F29EB" w:rsidRPr="002F29EB">
              <w:rPr>
                <w:rFonts w:ascii="Times New Roman" w:hAnsi="Times New Roman" w:cs="Times New Roman"/>
              </w:rPr>
              <w:t xml:space="preserve"> piirväärtusi, mis ei põhine rahvusvaheliselt aktsepteeritud tõenduspõhisel teadmisel, kuna see looks õigusliku ebakindluse</w:t>
            </w:r>
            <w:r w:rsidR="00664F8F">
              <w:rPr>
                <w:rFonts w:ascii="Times New Roman" w:hAnsi="Times New Roman" w:cs="Times New Roman"/>
              </w:rPr>
              <w:t xml:space="preserve"> ja </w:t>
            </w:r>
            <w:r w:rsidR="00876438">
              <w:rPr>
                <w:rFonts w:ascii="Times New Roman" w:hAnsi="Times New Roman" w:cs="Times New Roman"/>
              </w:rPr>
              <w:t>sellel poleks argumenteeritud teaduslikku aluseid, mis põhinevad rahvusvahelisel konsensusel.</w:t>
            </w:r>
            <w:r w:rsidR="00171CBC">
              <w:rPr>
                <w:rFonts w:ascii="Times New Roman" w:hAnsi="Times New Roman" w:cs="Times New Roman"/>
              </w:rPr>
              <w:t xml:space="preserve"> Mis puudutab Euroopa Parlamenti, siis </w:t>
            </w:r>
            <w:r w:rsidR="00171CBC" w:rsidRPr="00171CBC">
              <w:rPr>
                <w:rFonts w:ascii="Times New Roman" w:hAnsi="Times New Roman" w:cs="Times New Roman"/>
              </w:rPr>
              <w:t>on</w:t>
            </w:r>
            <w:r w:rsidR="00171CBC">
              <w:rPr>
                <w:rFonts w:ascii="Times New Roman" w:hAnsi="Times New Roman" w:cs="Times New Roman"/>
              </w:rPr>
              <w:t xml:space="preserve"> see</w:t>
            </w:r>
            <w:r w:rsidR="00171CBC" w:rsidRPr="00171CBC">
              <w:rPr>
                <w:rFonts w:ascii="Times New Roman" w:hAnsi="Times New Roman" w:cs="Times New Roman"/>
              </w:rPr>
              <w:t xml:space="preserve"> poliitiline organ, kelle pädevus on suunata Euroopa Liidu poliitika kujundamist ja järelevalvet, kuid ta ei ole teaduslik organisatsioon ega tee teaduslikke riskihinnanguid. Parlament võib tellida analüüse ja arutelusid erinevatelt huvigruppidelt või sõltumatutelt ekspertidelt, kuid </w:t>
            </w:r>
            <w:r w:rsidR="00171CBC" w:rsidRPr="00171CBC">
              <w:rPr>
                <w:rFonts w:ascii="Times New Roman" w:hAnsi="Times New Roman" w:cs="Times New Roman"/>
              </w:rPr>
              <w:lastRenderedPageBreak/>
              <w:t>need ei ole siduvad ega võrdsustatavad rahvusvaheliste teadusasutuste konsensuspõhiste seisukohtadega.</w:t>
            </w:r>
          </w:p>
        </w:tc>
      </w:tr>
      <w:tr w:rsidR="00A265BC" w:rsidRPr="00D963AE" w14:paraId="443BCDE9" w14:textId="77777777" w:rsidTr="14A94AAC">
        <w:trPr>
          <w:jc w:val="center"/>
        </w:trPr>
        <w:tc>
          <w:tcPr>
            <w:tcW w:w="1129" w:type="dxa"/>
            <w:shd w:val="clear" w:color="auto" w:fill="auto"/>
          </w:tcPr>
          <w:p w14:paraId="4FEEF033" w14:textId="06D08767" w:rsidR="00A265BC" w:rsidRPr="00D963AE" w:rsidRDefault="00A265BC" w:rsidP="00A265BC">
            <w:pPr>
              <w:spacing w:line="276" w:lineRule="auto"/>
              <w:jc w:val="both"/>
              <w:rPr>
                <w:rFonts w:ascii="Times New Roman" w:hAnsi="Times New Roman" w:cs="Times New Roman"/>
              </w:rPr>
            </w:pPr>
          </w:p>
        </w:tc>
        <w:tc>
          <w:tcPr>
            <w:tcW w:w="7524" w:type="dxa"/>
          </w:tcPr>
          <w:p w14:paraId="45A77756" w14:textId="77777777" w:rsidR="00A265BC" w:rsidRPr="00F66E79" w:rsidRDefault="00A265BC" w:rsidP="00A265BC">
            <w:pPr>
              <w:jc w:val="both"/>
              <w:rPr>
                <w:rFonts w:ascii="Times New Roman" w:hAnsi="Times New Roman" w:cs="Times New Roman"/>
              </w:rPr>
            </w:pPr>
            <w:r w:rsidRPr="00F66E79">
              <w:rPr>
                <w:rFonts w:ascii="Times New Roman" w:hAnsi="Times New Roman" w:cs="Times New Roman"/>
              </w:rPr>
              <w:t>§ 5 (6) Juurdepääsupiirangutest ja ohumärgistustest.</w:t>
            </w:r>
          </w:p>
          <w:p w14:paraId="1C81A54D" w14:textId="4499E619" w:rsidR="00A265BC" w:rsidRPr="00D963AE" w:rsidRDefault="00A265BC" w:rsidP="00A265BC">
            <w:pPr>
              <w:jc w:val="both"/>
              <w:rPr>
                <w:rFonts w:ascii="Times New Roman" w:hAnsi="Times New Roman" w:cs="Times New Roman"/>
              </w:rPr>
            </w:pPr>
            <w:r w:rsidRPr="00F66E79">
              <w:rPr>
                <w:rFonts w:ascii="Times New Roman" w:hAnsi="Times New Roman" w:cs="Times New Roman"/>
              </w:rPr>
              <w:t xml:space="preserve">Eelnõus on sätestatud, et kehtivaid piirnorme arvestades absurdselt väike ala kiirgusallika läheduses tuleb vastavalt märgistada ning tõkestada juurdepääs kiirgusallika ohutsooni. Rõõmustame esimeste tibusammude üle ses valdkonnas. Samuti tunnustame Terviseameti plaane, millest on juttu olnud meie kohtumistel – paigaldada hoiatussildid ka kõrgema kiirgusfooniga avalikesse kohtadesse ning töötada välja kõigile kättesaadav kaardirakendus, kuhu on peale kantud kõrgema kiirgusfooniga kohad, et inimesed saaksid oma elukohta valides ja ringi liikudes teha teadlikumaid otsuseid. Ent lisaks sellele teemale oleme </w:t>
            </w:r>
            <w:proofErr w:type="spellStart"/>
            <w:r w:rsidRPr="00F66E79">
              <w:rPr>
                <w:rFonts w:ascii="Times New Roman" w:hAnsi="Times New Roman" w:cs="Times New Roman"/>
              </w:rPr>
              <w:t>SoMi</w:t>
            </w:r>
            <w:proofErr w:type="spellEnd"/>
            <w:r w:rsidRPr="00F66E79">
              <w:rPr>
                <w:rFonts w:ascii="Times New Roman" w:hAnsi="Times New Roman" w:cs="Times New Roman"/>
              </w:rPr>
              <w:t xml:space="preserve"> ja Terviseameti esindajatega toimunud koosolekutel korduvalt rõhutanud, et kriitiliselt tähtis on täna avalikkuse teadlikkuse tõstmine tehisliku elektromagnetkiirguse ohtudest ning viisidest, kuidas end selle eest kaitsta. Käesolevaga tuletame Terviseametile meelde nende antud lubadust selliseid materjale koostama hakata ning lubadust hakata teavitama ja harima meditsiini-töötajaid EÜT sündroomi teemal, lisaks üldisele haridus- ja hooldusasutuste ning avalikkuse teavitamisele lihtsatest võtetest kiirguse vähendamiseks (vt LISA 3, kirjad Terviseametile).</w:t>
            </w:r>
          </w:p>
        </w:tc>
        <w:tc>
          <w:tcPr>
            <w:tcW w:w="5676" w:type="dxa"/>
          </w:tcPr>
          <w:p w14:paraId="34AF4D78" w14:textId="397B4C4C" w:rsidR="00A265BC" w:rsidRPr="00D963AE" w:rsidRDefault="2F3E5BA3" w:rsidP="00A265BC">
            <w:pPr>
              <w:spacing w:line="276" w:lineRule="auto"/>
              <w:jc w:val="both"/>
              <w:rPr>
                <w:rFonts w:ascii="Times New Roman" w:hAnsi="Times New Roman" w:cs="Times New Roman"/>
                <w:b/>
                <w:bCs/>
              </w:rPr>
            </w:pPr>
            <w:r w:rsidRPr="14A94AAC">
              <w:rPr>
                <w:rFonts w:ascii="Times New Roman" w:hAnsi="Times New Roman" w:cs="Times New Roman"/>
                <w:b/>
                <w:bCs/>
              </w:rPr>
              <w:t xml:space="preserve">Arvestatud. </w:t>
            </w:r>
            <w:r w:rsidRPr="14A94AAC">
              <w:rPr>
                <w:rFonts w:ascii="Times New Roman" w:hAnsi="Times New Roman" w:cs="Times New Roman"/>
              </w:rPr>
              <w:t>Oleme teie ettepanekutest teadlikud</w:t>
            </w:r>
            <w:r w:rsidR="000704C0">
              <w:rPr>
                <w:rFonts w:ascii="Times New Roman" w:hAnsi="Times New Roman" w:cs="Times New Roman"/>
              </w:rPr>
              <w:t xml:space="preserve"> </w:t>
            </w:r>
            <w:r w:rsidR="00566167">
              <w:rPr>
                <w:rFonts w:ascii="Times New Roman" w:hAnsi="Times New Roman" w:cs="Times New Roman"/>
              </w:rPr>
              <w:t>ning</w:t>
            </w:r>
            <w:r w:rsidRPr="14A94AAC">
              <w:rPr>
                <w:rFonts w:ascii="Times New Roman" w:hAnsi="Times New Roman" w:cs="Times New Roman"/>
              </w:rPr>
              <w:t xml:space="preserve"> </w:t>
            </w:r>
            <w:r w:rsidR="00AE3276">
              <w:rPr>
                <w:rFonts w:ascii="Times New Roman" w:hAnsi="Times New Roman" w:cs="Times New Roman"/>
              </w:rPr>
              <w:t>oleme valmis</w:t>
            </w:r>
            <w:r w:rsidRPr="14A94AAC">
              <w:rPr>
                <w:rFonts w:ascii="Times New Roman" w:hAnsi="Times New Roman" w:cs="Times New Roman"/>
              </w:rPr>
              <w:t xml:space="preserve"> </w:t>
            </w:r>
            <w:r w:rsidR="00034200">
              <w:rPr>
                <w:rFonts w:ascii="Times New Roman" w:hAnsi="Times New Roman" w:cs="Times New Roman"/>
              </w:rPr>
              <w:t>teemaga</w:t>
            </w:r>
            <w:r w:rsidRPr="14A94AAC">
              <w:rPr>
                <w:rFonts w:ascii="Times New Roman" w:hAnsi="Times New Roman" w:cs="Times New Roman"/>
              </w:rPr>
              <w:t xml:space="preserve"> seotud arutelu ja koostööd jätka</w:t>
            </w:r>
            <w:r w:rsidR="00AE3276">
              <w:rPr>
                <w:rFonts w:ascii="Times New Roman" w:hAnsi="Times New Roman" w:cs="Times New Roman"/>
              </w:rPr>
              <w:t>ma</w:t>
            </w:r>
            <w:r w:rsidR="002B7414">
              <w:rPr>
                <w:rFonts w:ascii="Times New Roman" w:hAnsi="Times New Roman" w:cs="Times New Roman"/>
              </w:rPr>
              <w:t>.</w:t>
            </w:r>
            <w:r w:rsidR="000012FE">
              <w:rPr>
                <w:rFonts w:ascii="Times New Roman" w:hAnsi="Times New Roman" w:cs="Times New Roman"/>
              </w:rPr>
              <w:t xml:space="preserve"> Pöörame tähelepanu, et kiirgusallika ohutsoon määratakse praegu ja edaspidi arvestades „</w:t>
            </w:r>
            <w:proofErr w:type="spellStart"/>
            <w:r w:rsidR="000012FE">
              <w:rPr>
                <w:rFonts w:ascii="Times New Roman" w:hAnsi="Times New Roman" w:cs="Times New Roman"/>
              </w:rPr>
              <w:t>worst</w:t>
            </w:r>
            <w:proofErr w:type="spellEnd"/>
            <w:r w:rsidR="000012FE">
              <w:rPr>
                <w:rFonts w:ascii="Times New Roman" w:hAnsi="Times New Roman" w:cs="Times New Roman"/>
              </w:rPr>
              <w:t xml:space="preserve"> </w:t>
            </w:r>
            <w:proofErr w:type="spellStart"/>
            <w:r w:rsidR="000012FE">
              <w:rPr>
                <w:rFonts w:ascii="Times New Roman" w:hAnsi="Times New Roman" w:cs="Times New Roman"/>
              </w:rPr>
              <w:t>case</w:t>
            </w:r>
            <w:proofErr w:type="spellEnd"/>
            <w:r w:rsidR="000012FE">
              <w:rPr>
                <w:rFonts w:ascii="Times New Roman" w:hAnsi="Times New Roman" w:cs="Times New Roman"/>
              </w:rPr>
              <w:t xml:space="preserve"> </w:t>
            </w:r>
            <w:proofErr w:type="spellStart"/>
            <w:r w:rsidR="000012FE">
              <w:rPr>
                <w:rFonts w:ascii="Times New Roman" w:hAnsi="Times New Roman" w:cs="Times New Roman"/>
              </w:rPr>
              <w:t>scenario</w:t>
            </w:r>
            <w:proofErr w:type="spellEnd"/>
            <w:r w:rsidR="000012FE">
              <w:rPr>
                <w:rFonts w:ascii="Times New Roman" w:hAnsi="Times New Roman" w:cs="Times New Roman"/>
              </w:rPr>
              <w:t xml:space="preserve">“ olukorda, mille tekkimise tõenäosus reaalolukorras on ebatõenäoline või väga väike. Ehk ka ohutsoon määratakse </w:t>
            </w:r>
            <w:proofErr w:type="spellStart"/>
            <w:r w:rsidR="000012FE">
              <w:rPr>
                <w:rFonts w:ascii="Times New Roman" w:hAnsi="Times New Roman" w:cs="Times New Roman"/>
              </w:rPr>
              <w:t>tervisekaitselises</w:t>
            </w:r>
            <w:proofErr w:type="spellEnd"/>
            <w:r w:rsidR="000012FE">
              <w:rPr>
                <w:rFonts w:ascii="Times New Roman" w:hAnsi="Times New Roman" w:cs="Times New Roman"/>
              </w:rPr>
              <w:t xml:space="preserve"> mõttes suure varuga ja ettevaatuspõhimõttel.</w:t>
            </w:r>
          </w:p>
        </w:tc>
      </w:tr>
      <w:tr w:rsidR="00A265BC" w:rsidRPr="00D963AE" w14:paraId="24309CBD" w14:textId="77777777" w:rsidTr="14A94AAC">
        <w:trPr>
          <w:jc w:val="center"/>
        </w:trPr>
        <w:tc>
          <w:tcPr>
            <w:tcW w:w="1129" w:type="dxa"/>
            <w:shd w:val="clear" w:color="auto" w:fill="auto"/>
          </w:tcPr>
          <w:p w14:paraId="45572AE7" w14:textId="08E7316B" w:rsidR="00A265BC" w:rsidRPr="00D963AE" w:rsidRDefault="00A265BC" w:rsidP="00A265BC">
            <w:pPr>
              <w:spacing w:line="276" w:lineRule="auto"/>
              <w:jc w:val="both"/>
              <w:rPr>
                <w:rFonts w:ascii="Times New Roman" w:hAnsi="Times New Roman" w:cs="Times New Roman"/>
              </w:rPr>
            </w:pPr>
          </w:p>
        </w:tc>
        <w:tc>
          <w:tcPr>
            <w:tcW w:w="7524" w:type="dxa"/>
          </w:tcPr>
          <w:p w14:paraId="38425A74" w14:textId="77777777" w:rsidR="00A265BC" w:rsidRPr="00F66E79" w:rsidRDefault="00A265BC" w:rsidP="00A265BC">
            <w:pPr>
              <w:jc w:val="both"/>
              <w:rPr>
                <w:rFonts w:ascii="Times New Roman" w:hAnsi="Times New Roman" w:cs="Times New Roman"/>
              </w:rPr>
            </w:pPr>
            <w:r w:rsidRPr="00F66E79">
              <w:rPr>
                <w:rFonts w:ascii="Times New Roman" w:hAnsi="Times New Roman" w:cs="Times New Roman"/>
              </w:rPr>
              <w:t>Lisa. Mitteioniseeriva kiirguse piirväärtused</w:t>
            </w:r>
          </w:p>
          <w:p w14:paraId="3C15AFCB" w14:textId="6494EE94" w:rsidR="00A265BC" w:rsidRPr="00D963AE" w:rsidRDefault="00A265BC" w:rsidP="00A265BC">
            <w:pPr>
              <w:jc w:val="both"/>
              <w:rPr>
                <w:rFonts w:ascii="Times New Roman" w:hAnsi="Times New Roman" w:cs="Times New Roman"/>
              </w:rPr>
            </w:pPr>
            <w:r w:rsidRPr="00F66E79">
              <w:rPr>
                <w:rFonts w:ascii="Times New Roman" w:hAnsi="Times New Roman" w:cs="Times New Roman"/>
              </w:rPr>
              <w:t xml:space="preserve">Taunime tugevalt eelnõusse </w:t>
            </w:r>
            <w:proofErr w:type="spellStart"/>
            <w:r w:rsidRPr="00F66E79">
              <w:rPr>
                <w:rFonts w:ascii="Times New Roman" w:hAnsi="Times New Roman" w:cs="Times New Roman"/>
              </w:rPr>
              <w:t>sissekirjutatud</w:t>
            </w:r>
            <w:proofErr w:type="spellEnd"/>
            <w:r w:rsidRPr="00F66E79">
              <w:rPr>
                <w:rFonts w:ascii="Times New Roman" w:hAnsi="Times New Roman" w:cs="Times New Roman"/>
              </w:rPr>
              <w:t xml:space="preserve"> mitteioniseeriva kiirguse </w:t>
            </w:r>
            <w:proofErr w:type="spellStart"/>
            <w:r w:rsidRPr="00F66E79">
              <w:rPr>
                <w:rFonts w:ascii="Times New Roman" w:hAnsi="Times New Roman" w:cs="Times New Roman"/>
              </w:rPr>
              <w:t>mõõtemeetodika</w:t>
            </w:r>
            <w:proofErr w:type="spellEnd"/>
            <w:r w:rsidRPr="00F66E79">
              <w:rPr>
                <w:rFonts w:ascii="Times New Roman" w:hAnsi="Times New Roman" w:cs="Times New Roman"/>
              </w:rPr>
              <w:t xml:space="preserve"> valikut. Nagu Sotsiaalministeeriumi enda tellitud 5GEMF1 lõpparuandes on välja toodud, soovitatakse kasutada ka tippväärtuste meetodit, kusjuures ka tippväärtused peaksid loomulikult jääma piirväärtuste raamesse ning praegu lubatud kuni 32-kordsed piirnormi ületamised peaksid olema välistatud! Eelnõus oleva keskmiste väärtuste mõõtemeetodi puhul arvutatakse summaarne statistiline keskmine, jättes täielikult arvestamata kõrgsagedusliku elektromagnetkiirguse pulseerivat iseloomu ning andes seega otseselt tegelikkusest madalama ja vale mõõtetulemuse (vt LISA 2, märgukiri).</w:t>
            </w:r>
          </w:p>
        </w:tc>
        <w:tc>
          <w:tcPr>
            <w:tcW w:w="5676" w:type="dxa"/>
          </w:tcPr>
          <w:p w14:paraId="1319E601" w14:textId="77777777" w:rsidR="00873E1A" w:rsidRPr="00873E1A" w:rsidRDefault="00873E1A" w:rsidP="00873E1A">
            <w:pPr>
              <w:spacing w:line="276" w:lineRule="auto"/>
              <w:jc w:val="both"/>
              <w:rPr>
                <w:rFonts w:ascii="Times New Roman" w:hAnsi="Times New Roman" w:cs="Times New Roman"/>
              </w:rPr>
            </w:pPr>
            <w:r w:rsidRPr="00873E1A">
              <w:rPr>
                <w:rFonts w:ascii="Times New Roman" w:hAnsi="Times New Roman" w:cs="Times New Roman"/>
                <w:b/>
                <w:bCs/>
              </w:rPr>
              <w:t>Selgitatud.</w:t>
            </w:r>
            <w:r w:rsidRPr="00873E1A">
              <w:rPr>
                <w:rFonts w:ascii="Times New Roman" w:hAnsi="Times New Roman" w:cs="Times New Roman"/>
              </w:rPr>
              <w:t xml:space="preserve"> Tippväärtuste (</w:t>
            </w:r>
            <w:proofErr w:type="spellStart"/>
            <w:r w:rsidRPr="00873E1A">
              <w:rPr>
                <w:rFonts w:ascii="Times New Roman" w:hAnsi="Times New Roman" w:cs="Times New Roman"/>
              </w:rPr>
              <w:t>peak</w:t>
            </w:r>
            <w:proofErr w:type="spellEnd"/>
            <w:r w:rsidRPr="00873E1A">
              <w:rPr>
                <w:rFonts w:ascii="Times New Roman" w:hAnsi="Times New Roman" w:cs="Times New Roman"/>
              </w:rPr>
              <w:t xml:space="preserve"> </w:t>
            </w:r>
            <w:proofErr w:type="spellStart"/>
            <w:r w:rsidRPr="00873E1A">
              <w:rPr>
                <w:rFonts w:ascii="Times New Roman" w:hAnsi="Times New Roman" w:cs="Times New Roman"/>
              </w:rPr>
              <w:t>values</w:t>
            </w:r>
            <w:proofErr w:type="spellEnd"/>
            <w:r w:rsidRPr="00873E1A">
              <w:rPr>
                <w:rFonts w:ascii="Times New Roman" w:hAnsi="Times New Roman" w:cs="Times New Roman"/>
              </w:rPr>
              <w:t>) meetod üksi ei ole rahvusvaheliselt aktsepteeritud, kuna see võib anda liialt konservatiivseid ja moonutatud tulemusi, mis ei kajasta tegelikku bioloogilist riski.</w:t>
            </w:r>
          </w:p>
          <w:p w14:paraId="6399697C" w14:textId="77777777" w:rsidR="00873E1A" w:rsidRPr="00873E1A" w:rsidRDefault="00873E1A" w:rsidP="00873E1A">
            <w:pPr>
              <w:spacing w:line="276" w:lineRule="auto"/>
              <w:jc w:val="both"/>
              <w:rPr>
                <w:rFonts w:ascii="Times New Roman" w:hAnsi="Times New Roman" w:cs="Times New Roman"/>
              </w:rPr>
            </w:pPr>
          </w:p>
          <w:p w14:paraId="0F70B1EF" w14:textId="77777777" w:rsidR="00873E1A" w:rsidRPr="00873E1A" w:rsidRDefault="00873E1A" w:rsidP="00873E1A">
            <w:pPr>
              <w:spacing w:line="276" w:lineRule="auto"/>
              <w:jc w:val="both"/>
              <w:rPr>
                <w:rFonts w:ascii="Times New Roman" w:hAnsi="Times New Roman" w:cs="Times New Roman"/>
              </w:rPr>
            </w:pPr>
            <w:r w:rsidRPr="00873E1A">
              <w:rPr>
                <w:rFonts w:ascii="Times New Roman" w:hAnsi="Times New Roman" w:cs="Times New Roman"/>
              </w:rPr>
              <w:t>Näiteks lühiajalised impulsid võivad ulatuda kõrgemale, kuid nende kestus on nii väike, et puudub füsioloogiline mõju. Kui neid arvestada piirväärtuste määramisel, tekiks olukord, kus ka täiesti ohutud kiirgusolukorrad kvalifitseeruksid „ohtlikuks“.</w:t>
            </w:r>
          </w:p>
          <w:p w14:paraId="7166E946" w14:textId="77777777" w:rsidR="00873E1A" w:rsidRPr="00873E1A" w:rsidRDefault="00873E1A" w:rsidP="00873E1A">
            <w:pPr>
              <w:spacing w:line="276" w:lineRule="auto"/>
              <w:jc w:val="both"/>
              <w:rPr>
                <w:rFonts w:ascii="Times New Roman" w:hAnsi="Times New Roman" w:cs="Times New Roman"/>
              </w:rPr>
            </w:pPr>
          </w:p>
          <w:p w14:paraId="4135336C" w14:textId="77777777" w:rsidR="00A265BC" w:rsidRDefault="00873E1A" w:rsidP="00873E1A">
            <w:pPr>
              <w:spacing w:line="276" w:lineRule="auto"/>
              <w:jc w:val="both"/>
              <w:rPr>
                <w:rFonts w:ascii="Times New Roman" w:hAnsi="Times New Roman" w:cs="Times New Roman"/>
              </w:rPr>
            </w:pPr>
            <w:r w:rsidRPr="00873E1A">
              <w:rPr>
                <w:rFonts w:ascii="Times New Roman" w:hAnsi="Times New Roman" w:cs="Times New Roman"/>
              </w:rPr>
              <w:t xml:space="preserve">Seetõttu kasutavad ka ITU soovitused ja enamik riiklikke regulatsioone ajaliselt </w:t>
            </w:r>
            <w:proofErr w:type="spellStart"/>
            <w:r w:rsidRPr="00873E1A">
              <w:rPr>
                <w:rFonts w:ascii="Times New Roman" w:hAnsi="Times New Roman" w:cs="Times New Roman"/>
              </w:rPr>
              <w:t>keskmistamist</w:t>
            </w:r>
            <w:proofErr w:type="spellEnd"/>
            <w:r w:rsidRPr="00873E1A">
              <w:rPr>
                <w:rFonts w:ascii="Times New Roman" w:hAnsi="Times New Roman" w:cs="Times New Roman"/>
              </w:rPr>
              <w:t xml:space="preserve"> (nt 6 või 30 minutit).</w:t>
            </w:r>
            <w:r>
              <w:rPr>
                <w:rFonts w:ascii="Times New Roman" w:hAnsi="Times New Roman" w:cs="Times New Roman"/>
              </w:rPr>
              <w:t xml:space="preserve"> </w:t>
            </w:r>
          </w:p>
          <w:p w14:paraId="491EE8EE" w14:textId="77777777" w:rsidR="00873E1A" w:rsidRDefault="00873E1A" w:rsidP="00873E1A">
            <w:pPr>
              <w:spacing w:line="276" w:lineRule="auto"/>
              <w:jc w:val="both"/>
              <w:rPr>
                <w:rFonts w:ascii="Times New Roman" w:hAnsi="Times New Roman" w:cs="Times New Roman"/>
              </w:rPr>
            </w:pPr>
          </w:p>
          <w:p w14:paraId="2705CA5A" w14:textId="496ABB9D" w:rsidR="00873E1A" w:rsidRPr="00873E1A" w:rsidRDefault="00873E1A" w:rsidP="00873E1A">
            <w:pPr>
              <w:spacing w:line="276" w:lineRule="auto"/>
              <w:jc w:val="both"/>
              <w:rPr>
                <w:rFonts w:ascii="Times New Roman" w:hAnsi="Times New Roman" w:cs="Times New Roman"/>
              </w:rPr>
            </w:pPr>
            <w:proofErr w:type="spellStart"/>
            <w:r w:rsidRPr="00873E1A">
              <w:rPr>
                <w:rFonts w:ascii="Times New Roman" w:hAnsi="Times New Roman" w:cs="Times New Roman"/>
              </w:rPr>
              <w:lastRenderedPageBreak/>
              <w:t>Keskmistamise</w:t>
            </w:r>
            <w:proofErr w:type="spellEnd"/>
            <w:r w:rsidRPr="00873E1A">
              <w:rPr>
                <w:rFonts w:ascii="Times New Roman" w:hAnsi="Times New Roman" w:cs="Times New Roman"/>
              </w:rPr>
              <w:t xml:space="preserve"> metoodika ei </w:t>
            </w:r>
            <w:r>
              <w:rPr>
                <w:rFonts w:ascii="Times New Roman" w:hAnsi="Times New Roman" w:cs="Times New Roman"/>
              </w:rPr>
              <w:t xml:space="preserve">kahanda </w:t>
            </w:r>
            <w:r w:rsidRPr="00873E1A">
              <w:rPr>
                <w:rFonts w:ascii="Times New Roman" w:hAnsi="Times New Roman" w:cs="Times New Roman"/>
              </w:rPr>
              <w:t>tervisekaitset, vaid kajastab teaduslikult tõendatud bioloogilisi mehhanisme ning tagab rahvusvahelise võrreldavuse. Tippväärtuste meetodi rakendamine üksi looks olukorra, kus Eesti normid muutuksid põhjendamatult jäigaks ja raskesti rakendatavaks, ilma et sellest kaasneks tervisekaitsele lisaväärtust.</w:t>
            </w:r>
          </w:p>
        </w:tc>
      </w:tr>
      <w:tr w:rsidR="00A265BC" w:rsidRPr="00D963AE" w14:paraId="58E7B763" w14:textId="77777777" w:rsidTr="14A94AAC">
        <w:trPr>
          <w:jc w:val="center"/>
        </w:trPr>
        <w:tc>
          <w:tcPr>
            <w:tcW w:w="1129" w:type="dxa"/>
            <w:shd w:val="clear" w:color="auto" w:fill="auto"/>
          </w:tcPr>
          <w:p w14:paraId="77F9C16B" w14:textId="285F95C9" w:rsidR="00A265BC" w:rsidRPr="00D963AE" w:rsidRDefault="00A265BC" w:rsidP="00A265BC">
            <w:pPr>
              <w:spacing w:line="276" w:lineRule="auto"/>
              <w:jc w:val="both"/>
              <w:rPr>
                <w:rFonts w:ascii="Times New Roman" w:hAnsi="Times New Roman" w:cs="Times New Roman"/>
              </w:rPr>
            </w:pPr>
          </w:p>
        </w:tc>
        <w:tc>
          <w:tcPr>
            <w:tcW w:w="7524" w:type="dxa"/>
          </w:tcPr>
          <w:p w14:paraId="69FECD6C" w14:textId="77777777" w:rsidR="00A265BC" w:rsidRPr="007D5EAF" w:rsidRDefault="00A265BC" w:rsidP="00A265BC">
            <w:pPr>
              <w:jc w:val="both"/>
              <w:rPr>
                <w:rFonts w:ascii="Times New Roman" w:hAnsi="Times New Roman" w:cs="Times New Roman"/>
              </w:rPr>
            </w:pPr>
            <w:r w:rsidRPr="007D5EAF">
              <w:rPr>
                <w:rFonts w:ascii="Times New Roman" w:hAnsi="Times New Roman" w:cs="Times New Roman"/>
              </w:rPr>
              <w:t>Taunime seda, et eelnõust on täielikult välja jäetud riskirühmade kaitse!</w:t>
            </w:r>
          </w:p>
          <w:p w14:paraId="437E2001" w14:textId="6F1B8FDC" w:rsidR="00A265BC" w:rsidRPr="00D963AE" w:rsidRDefault="00A265BC" w:rsidP="00A265BC">
            <w:pPr>
              <w:jc w:val="both"/>
              <w:rPr>
                <w:rFonts w:ascii="Times New Roman" w:hAnsi="Times New Roman" w:cs="Times New Roman"/>
              </w:rPr>
            </w:pPr>
            <w:r w:rsidRPr="007D5EAF">
              <w:rPr>
                <w:rFonts w:ascii="Times New Roman" w:hAnsi="Times New Roman" w:cs="Times New Roman"/>
              </w:rPr>
              <w:t>Lasteasutustes (s.o lasteaiad, huvikoolid, koolid jms), terviseasutustes (s.o perearstikeskused, haiglad, hooldekodud jms) ja muudes avalikes kohtades (nt ühistransport) peaksid olema rangemad piirangud ja piirnormid, nagu on soovitatud ka 5GEMF1 lõpparuandes.</w:t>
            </w:r>
          </w:p>
        </w:tc>
        <w:tc>
          <w:tcPr>
            <w:tcW w:w="5676" w:type="dxa"/>
          </w:tcPr>
          <w:p w14:paraId="24C1C5B1" w14:textId="7360B74A" w:rsidR="00313816" w:rsidRPr="00C66468" w:rsidRDefault="00873E1A" w:rsidP="00313816">
            <w:pPr>
              <w:spacing w:line="276" w:lineRule="auto"/>
              <w:jc w:val="both"/>
              <w:rPr>
                <w:rFonts w:ascii="Times New Roman" w:hAnsi="Times New Roman" w:cs="Times New Roman"/>
              </w:rPr>
            </w:pPr>
            <w:r>
              <w:rPr>
                <w:rFonts w:ascii="Times New Roman" w:hAnsi="Times New Roman" w:cs="Times New Roman"/>
                <w:b/>
                <w:bCs/>
              </w:rPr>
              <w:t xml:space="preserve">Selgitatud. </w:t>
            </w:r>
            <w:r w:rsidR="00313816" w:rsidRPr="00313816">
              <w:rPr>
                <w:rFonts w:ascii="Times New Roman" w:hAnsi="Times New Roman" w:cs="Times New Roman"/>
              </w:rPr>
              <w:t>M</w:t>
            </w:r>
            <w:r w:rsidR="00313816" w:rsidRPr="00C66468">
              <w:rPr>
                <w:rFonts w:ascii="Times New Roman" w:hAnsi="Times New Roman" w:cs="Times New Roman"/>
              </w:rPr>
              <w:t>itteioniseeriva kiirguse piirväärtused on seatud selliselt, et need kaitsevad kogu elanikkonda, sealhulgas ka tundlikumaid rühmi (nt lapsed, eakad, krooniliste haigustega inimesed). Rahvusvahelised soovitused (ICNIRP, WHO) ei erista täiendavaid piirväärtusi eraldi riskirühmadele, vaid lähtuvad ohutustasemetest, mis tagavad kaitse kõigile.</w:t>
            </w:r>
          </w:p>
          <w:p w14:paraId="589EA333" w14:textId="38C9D5CB" w:rsidR="00A265BC" w:rsidRPr="00D963AE" w:rsidRDefault="00A265BC" w:rsidP="00A265BC">
            <w:pPr>
              <w:spacing w:line="276" w:lineRule="auto"/>
              <w:jc w:val="both"/>
              <w:rPr>
                <w:rFonts w:ascii="Times New Roman" w:hAnsi="Times New Roman" w:cs="Times New Roman"/>
                <w:b/>
                <w:bCs/>
              </w:rPr>
            </w:pPr>
          </w:p>
        </w:tc>
      </w:tr>
      <w:tr w:rsidR="00A265BC" w:rsidRPr="00D963AE" w14:paraId="60E63873" w14:textId="77777777" w:rsidTr="14A94AAC">
        <w:trPr>
          <w:jc w:val="center"/>
        </w:trPr>
        <w:tc>
          <w:tcPr>
            <w:tcW w:w="1129" w:type="dxa"/>
            <w:shd w:val="clear" w:color="auto" w:fill="auto"/>
          </w:tcPr>
          <w:p w14:paraId="1BBFD360" w14:textId="77777777" w:rsidR="00A265BC" w:rsidRPr="00D963AE" w:rsidRDefault="00A265BC" w:rsidP="00A265BC">
            <w:pPr>
              <w:spacing w:line="276" w:lineRule="auto"/>
              <w:jc w:val="both"/>
              <w:rPr>
                <w:rFonts w:ascii="Times New Roman" w:hAnsi="Times New Roman" w:cs="Times New Roman"/>
              </w:rPr>
            </w:pPr>
          </w:p>
        </w:tc>
        <w:tc>
          <w:tcPr>
            <w:tcW w:w="7524" w:type="dxa"/>
          </w:tcPr>
          <w:p w14:paraId="6627A25E" w14:textId="77777777" w:rsidR="00A265BC" w:rsidRPr="007D5EAF" w:rsidRDefault="00A265BC" w:rsidP="00A265BC">
            <w:pPr>
              <w:jc w:val="both"/>
              <w:rPr>
                <w:rFonts w:ascii="Times New Roman" w:hAnsi="Times New Roman" w:cs="Times New Roman"/>
              </w:rPr>
            </w:pPr>
            <w:r w:rsidRPr="007D5EAF">
              <w:rPr>
                <w:rFonts w:ascii="Times New Roman" w:hAnsi="Times New Roman" w:cs="Times New Roman"/>
              </w:rPr>
              <w:t xml:space="preserve">Juhime tähelepanu veel ühele kriitilisele teemale. Uute kõrgepingeliinide massiline rajamine Eestis suurendab inimeste, eriti sündivate laste haigestumist </w:t>
            </w:r>
            <w:proofErr w:type="spellStart"/>
            <w:r w:rsidRPr="007D5EAF">
              <w:rPr>
                <w:rFonts w:ascii="Times New Roman" w:hAnsi="Times New Roman" w:cs="Times New Roman"/>
              </w:rPr>
              <w:t>elektroülitundlikkusega</w:t>
            </w:r>
            <w:proofErr w:type="spellEnd"/>
            <w:r w:rsidRPr="007D5EAF">
              <w:rPr>
                <w:rFonts w:ascii="Times New Roman" w:hAnsi="Times New Roman" w:cs="Times New Roman"/>
              </w:rPr>
              <w:t xml:space="preserve"> seotud haigustesse ja halvendab elukvaliteeti. Kõrgepingeliinide tegelikuks ohutsooniks loetakse ca 100-300 m (vastavalt 100-300 </w:t>
            </w:r>
            <w:proofErr w:type="spellStart"/>
            <w:r w:rsidRPr="007D5EAF">
              <w:rPr>
                <w:rFonts w:ascii="Times New Roman" w:hAnsi="Times New Roman" w:cs="Times New Roman"/>
              </w:rPr>
              <w:t>kV</w:t>
            </w:r>
            <w:proofErr w:type="spellEnd"/>
            <w:r w:rsidRPr="007D5EAF">
              <w:rPr>
                <w:rFonts w:ascii="Times New Roman" w:hAnsi="Times New Roman" w:cs="Times New Roman"/>
              </w:rPr>
              <w:t xml:space="preserve"> liini puhul) (vt nt https://www.kiirgusinfo.ee/korgepingeliinide-tervisemoju/). Tuletame meelde üle 10 aasta tagust Tallinnas Vuti tänaval aset leidnud juhtumit, kus kõrgepinge-liinide läheduses elavad inimesed haigestusid vähki ja seos elektriliinidega oli ilmselge. Kahjulik mõju minimeeriti kaabli maa alla viimisega.</w:t>
            </w:r>
          </w:p>
          <w:p w14:paraId="291CCC7D" w14:textId="2A65A628" w:rsidR="00A265BC" w:rsidRPr="007D5EAF" w:rsidRDefault="00A265BC" w:rsidP="00A265BC">
            <w:pPr>
              <w:jc w:val="both"/>
              <w:rPr>
                <w:rFonts w:ascii="Times New Roman" w:hAnsi="Times New Roman" w:cs="Times New Roman"/>
              </w:rPr>
            </w:pPr>
            <w:r w:rsidRPr="007D5EAF">
              <w:rPr>
                <w:rFonts w:ascii="Times New Roman" w:hAnsi="Times New Roman" w:cs="Times New Roman"/>
              </w:rPr>
              <w:t>Mitmes riigis (nt Sloveenias, Leedus, Venemaal) on elektri- ja magnetväljade piirnormid kodudes, haiglates, lasteasutustes kuni 10 korda madalamad kui Eestis.</w:t>
            </w:r>
          </w:p>
        </w:tc>
        <w:tc>
          <w:tcPr>
            <w:tcW w:w="5676" w:type="dxa"/>
          </w:tcPr>
          <w:p w14:paraId="3F42F113" w14:textId="77777777" w:rsidR="00052B87" w:rsidRPr="00052B87" w:rsidRDefault="00873E1A" w:rsidP="00052B87">
            <w:pPr>
              <w:spacing w:line="276" w:lineRule="auto"/>
              <w:jc w:val="both"/>
              <w:rPr>
                <w:rFonts w:ascii="Times New Roman" w:hAnsi="Times New Roman" w:cs="Times New Roman"/>
              </w:rPr>
            </w:pPr>
            <w:r>
              <w:rPr>
                <w:rFonts w:ascii="Times New Roman" w:hAnsi="Times New Roman" w:cs="Times New Roman"/>
                <w:b/>
                <w:bCs/>
              </w:rPr>
              <w:t xml:space="preserve">Selgitatud. </w:t>
            </w:r>
            <w:r w:rsidR="00052B87" w:rsidRPr="00052B87">
              <w:rPr>
                <w:rFonts w:ascii="Times New Roman" w:hAnsi="Times New Roman" w:cs="Times New Roman"/>
              </w:rPr>
              <w:t>Eestis kehtivad elektri- ja magnetvälja piirväärtused on kooskõlas Rahvusvahelise Mitteioniseeriva Kiirguse Kaitse Komisjoni (ICNIRP) soovitustega, mille aluseks on ulatuslikud rahvusvahelised teadusuuringud ja ülevaated. Need piirväärtused on seatud piisava varuga, et kaitsta kogu elanikkonda, sh ka lapsi ja tundlikumaid elanikkonnarühmi.</w:t>
            </w:r>
          </w:p>
          <w:p w14:paraId="06273E79" w14:textId="77777777" w:rsidR="00052B87" w:rsidRPr="00052B87" w:rsidRDefault="00052B87" w:rsidP="00052B87">
            <w:pPr>
              <w:spacing w:line="276" w:lineRule="auto"/>
              <w:jc w:val="both"/>
              <w:rPr>
                <w:rFonts w:ascii="Times New Roman" w:hAnsi="Times New Roman" w:cs="Times New Roman"/>
              </w:rPr>
            </w:pPr>
          </w:p>
          <w:p w14:paraId="7FCAA7DF" w14:textId="16C9D6EA" w:rsidR="00052B87" w:rsidRPr="00052B87" w:rsidRDefault="00052B87" w:rsidP="00052B87">
            <w:pPr>
              <w:spacing w:line="276" w:lineRule="auto"/>
              <w:jc w:val="both"/>
              <w:rPr>
                <w:rFonts w:ascii="Times New Roman" w:hAnsi="Times New Roman" w:cs="Times New Roman"/>
              </w:rPr>
            </w:pPr>
            <w:r w:rsidRPr="00052B87">
              <w:rPr>
                <w:rFonts w:ascii="Times New Roman" w:hAnsi="Times New Roman" w:cs="Times New Roman"/>
              </w:rPr>
              <w:t xml:space="preserve">Viidatud </w:t>
            </w:r>
            <w:proofErr w:type="spellStart"/>
            <w:r w:rsidRPr="00052B87">
              <w:rPr>
                <w:rFonts w:ascii="Times New Roman" w:hAnsi="Times New Roman" w:cs="Times New Roman"/>
              </w:rPr>
              <w:t>elektroülitundlikkuse</w:t>
            </w:r>
            <w:proofErr w:type="spellEnd"/>
            <w:r w:rsidRPr="00052B87">
              <w:rPr>
                <w:rFonts w:ascii="Times New Roman" w:hAnsi="Times New Roman" w:cs="Times New Roman"/>
              </w:rPr>
              <w:t xml:space="preserve"> (EÜT) sündroomi osas on WHO seisukoht, et kuigi inimesed võivad kogeda reaalseid tervise</w:t>
            </w:r>
            <w:r>
              <w:rPr>
                <w:rFonts w:ascii="Times New Roman" w:hAnsi="Times New Roman" w:cs="Times New Roman"/>
              </w:rPr>
              <w:t>s</w:t>
            </w:r>
            <w:r w:rsidRPr="00052B87">
              <w:rPr>
                <w:rFonts w:ascii="Times New Roman" w:hAnsi="Times New Roman" w:cs="Times New Roman"/>
              </w:rPr>
              <w:t>ümptomeid, ei ole senine teadus näidanud põhjuslikku seost sümptomite ja mitteioniseeriva kiirguse tasemete vahel. Seetõttu ei käsitleta EÜT-d ametliku meditsiinilise diagnoosina ega ei saa seda võtta aluseks piirväärtuste muutmisel.</w:t>
            </w:r>
          </w:p>
          <w:p w14:paraId="1C970EE0" w14:textId="77777777" w:rsidR="00052B87" w:rsidRPr="00052B87" w:rsidRDefault="00052B87" w:rsidP="00052B87">
            <w:pPr>
              <w:spacing w:line="276" w:lineRule="auto"/>
              <w:jc w:val="both"/>
              <w:rPr>
                <w:rFonts w:ascii="Times New Roman" w:hAnsi="Times New Roman" w:cs="Times New Roman"/>
              </w:rPr>
            </w:pPr>
          </w:p>
          <w:p w14:paraId="6A225A66" w14:textId="77777777" w:rsidR="00052B87" w:rsidRPr="00052B87" w:rsidRDefault="00052B87" w:rsidP="00052B87">
            <w:pPr>
              <w:spacing w:line="276" w:lineRule="auto"/>
              <w:jc w:val="both"/>
              <w:rPr>
                <w:rFonts w:ascii="Times New Roman" w:hAnsi="Times New Roman" w:cs="Times New Roman"/>
              </w:rPr>
            </w:pPr>
            <w:r w:rsidRPr="00052B87">
              <w:rPr>
                <w:rFonts w:ascii="Times New Roman" w:hAnsi="Times New Roman" w:cs="Times New Roman"/>
              </w:rPr>
              <w:lastRenderedPageBreak/>
              <w:t>Üksikjuhtumite (nt Tallinna Vuti tänava näide) puhul ei saa ilma põhjaliku epidemioloogilise ja keskkonnauuringuta teha järeldusi põhjusliku seose kohta. Praegu ei ole teaduslikult kinnitatud, et kõrgepingeliinide läheduses elamine suurendaks vähki haigestumise riski tasemetel, mis jäävad allapoole kehtivaid rahvusvahelisi piirväärtusi.</w:t>
            </w:r>
          </w:p>
          <w:p w14:paraId="45B770A4" w14:textId="77777777" w:rsidR="00052B87" w:rsidRPr="00052B87" w:rsidRDefault="00052B87" w:rsidP="00052B87">
            <w:pPr>
              <w:spacing w:line="276" w:lineRule="auto"/>
              <w:jc w:val="both"/>
              <w:rPr>
                <w:rFonts w:ascii="Times New Roman" w:hAnsi="Times New Roman" w:cs="Times New Roman"/>
              </w:rPr>
            </w:pPr>
          </w:p>
          <w:p w14:paraId="50DD9D3E" w14:textId="2969249D" w:rsidR="00A265BC" w:rsidRPr="00D963AE" w:rsidRDefault="00052B87" w:rsidP="00052B87">
            <w:pPr>
              <w:spacing w:line="276" w:lineRule="auto"/>
              <w:jc w:val="both"/>
              <w:rPr>
                <w:rFonts w:ascii="Times New Roman" w:hAnsi="Times New Roman" w:cs="Times New Roman"/>
                <w:b/>
                <w:bCs/>
              </w:rPr>
            </w:pPr>
            <w:r w:rsidRPr="00052B87">
              <w:rPr>
                <w:rFonts w:ascii="Times New Roman" w:hAnsi="Times New Roman" w:cs="Times New Roman"/>
              </w:rPr>
              <w:t>Kõrgepingeliinide maa alla paigaldamine on tehniliselt ja majanduslikult eraldi planeerimis- ning energiataristu küsimus, mis ei kuulu mitteioniseeriva kiirguse piirnorme sätestava määruse reguleerimisalasse.</w:t>
            </w:r>
          </w:p>
        </w:tc>
      </w:tr>
      <w:tr w:rsidR="007319E7" w:rsidRPr="00D963AE" w14:paraId="3F9F251B" w14:textId="77777777" w:rsidTr="14A94AAC">
        <w:trPr>
          <w:jc w:val="center"/>
        </w:trPr>
        <w:tc>
          <w:tcPr>
            <w:tcW w:w="1129" w:type="dxa"/>
            <w:shd w:val="clear" w:color="auto" w:fill="auto"/>
          </w:tcPr>
          <w:p w14:paraId="7B108750" w14:textId="76021788" w:rsidR="007319E7" w:rsidRPr="00D963AE" w:rsidRDefault="007319E7" w:rsidP="007319E7">
            <w:pPr>
              <w:spacing w:line="276" w:lineRule="auto"/>
              <w:jc w:val="both"/>
              <w:rPr>
                <w:rFonts w:ascii="Times New Roman" w:hAnsi="Times New Roman" w:cs="Times New Roman"/>
              </w:rPr>
            </w:pPr>
          </w:p>
        </w:tc>
        <w:tc>
          <w:tcPr>
            <w:tcW w:w="7524" w:type="dxa"/>
          </w:tcPr>
          <w:p w14:paraId="19F03D99" w14:textId="652EDB84" w:rsidR="007319E7" w:rsidRPr="00D963AE" w:rsidRDefault="007319E7" w:rsidP="007319E7">
            <w:pPr>
              <w:jc w:val="both"/>
              <w:rPr>
                <w:rFonts w:ascii="Times New Roman" w:hAnsi="Times New Roman" w:cs="Times New Roman"/>
              </w:rPr>
            </w:pPr>
            <w:r w:rsidRPr="14A94AAC">
              <w:rPr>
                <w:rFonts w:ascii="Times New Roman" w:hAnsi="Times New Roman" w:cs="Times New Roman"/>
              </w:rPr>
              <w:t>Esitame järgmised ettepanekud:</w:t>
            </w:r>
          </w:p>
          <w:p w14:paraId="5879ACD9" w14:textId="510E9321" w:rsidR="007319E7" w:rsidRPr="00D963AE" w:rsidRDefault="007319E7" w:rsidP="007319E7">
            <w:pPr>
              <w:jc w:val="both"/>
            </w:pPr>
            <w:r w:rsidRPr="14A94AAC">
              <w:rPr>
                <w:rFonts w:ascii="Times New Roman" w:hAnsi="Times New Roman" w:cs="Times New Roman"/>
              </w:rPr>
              <w:t xml:space="preserve">1. Eesti piirnormid tuleb viia kooskõlla tööstusest sõltumatute teadlaste soovitustega. Euroopa Nõukogu Parlamentaarne Assamblee soovitas juba 2011. aastal Resolutsioonis 1815 selleks ajaks avaldatud teadustöödele tuginedes karmistada liikmesriikides mitteioniseeriva kiirguse piirnorme. Mitteioniseeriva kiirguse piirmääraks pikaajalise kokkupuute puhul soovitati kehtestada 0,6 V/m (s.o ~ 1 </w:t>
            </w:r>
            <w:proofErr w:type="spellStart"/>
            <w:r w:rsidRPr="14A94AAC">
              <w:rPr>
                <w:rFonts w:ascii="Times New Roman" w:hAnsi="Times New Roman" w:cs="Times New Roman"/>
              </w:rPr>
              <w:t>mW</w:t>
            </w:r>
            <w:proofErr w:type="spellEnd"/>
            <w:r w:rsidRPr="14A94AAC">
              <w:rPr>
                <w:rFonts w:ascii="Times New Roman" w:hAnsi="Times New Roman" w:cs="Times New Roman"/>
              </w:rPr>
              <w:t xml:space="preserve">/m2) ja pikemas perspektiivis 0,2 V/m (s.o ~ 0,1 </w:t>
            </w:r>
            <w:proofErr w:type="spellStart"/>
            <w:r w:rsidRPr="14A94AAC">
              <w:rPr>
                <w:rFonts w:ascii="Times New Roman" w:hAnsi="Times New Roman" w:cs="Times New Roman"/>
              </w:rPr>
              <w:t>mW</w:t>
            </w:r>
            <w:proofErr w:type="spellEnd"/>
            <w:r w:rsidRPr="14A94AAC">
              <w:rPr>
                <w:rFonts w:ascii="Times New Roman" w:hAnsi="Times New Roman" w:cs="Times New Roman"/>
              </w:rPr>
              <w:t>/m2).</w:t>
            </w:r>
          </w:p>
          <w:p w14:paraId="44240BB6" w14:textId="731FB864" w:rsidR="007319E7" w:rsidRPr="00D963AE" w:rsidRDefault="007319E7" w:rsidP="007319E7">
            <w:pPr>
              <w:jc w:val="both"/>
            </w:pPr>
            <w:r w:rsidRPr="14A94AAC">
              <w:rPr>
                <w:rFonts w:ascii="Times New Roman" w:hAnsi="Times New Roman" w:cs="Times New Roman"/>
              </w:rPr>
              <w:t xml:space="preserve">Eesti teadlased soovitavad 5GEMF1 lõpparuandes kehtestada sagedusalal 10 MHz kuni 10 GHz piirväärtusteks elektrivälja tugevus 6 V/m ja võimsustihedus 100 </w:t>
            </w:r>
            <w:proofErr w:type="spellStart"/>
            <w:r w:rsidRPr="14A94AAC">
              <w:rPr>
                <w:rFonts w:ascii="Times New Roman" w:hAnsi="Times New Roman" w:cs="Times New Roman"/>
              </w:rPr>
              <w:t>mW</w:t>
            </w:r>
            <w:proofErr w:type="spellEnd"/>
            <w:r w:rsidRPr="14A94AAC">
              <w:rPr>
                <w:rFonts w:ascii="Times New Roman" w:hAnsi="Times New Roman" w:cs="Times New Roman"/>
              </w:rPr>
              <w:t>/m2, mida kõnealuses eelnõus ei ole arvesse võetud. Me ei saa pidada õigeks seda, et kiirgusnormide kehtestamisel lähtutakse esmajoones mobiilioperaatorite ärihuvidest. Tuletame meelde, et rahvatervishoiu seaduse põhilisim nõue on ennetusprintsiip, mida aga kõnealune eelnõu absoluutselt ei järgi.</w:t>
            </w:r>
          </w:p>
        </w:tc>
        <w:tc>
          <w:tcPr>
            <w:tcW w:w="5676" w:type="dxa"/>
          </w:tcPr>
          <w:p w14:paraId="011D038D" w14:textId="77777777" w:rsidR="007319E7" w:rsidRDefault="007319E7" w:rsidP="007319E7">
            <w:pPr>
              <w:spacing w:line="276" w:lineRule="auto"/>
              <w:jc w:val="both"/>
              <w:rPr>
                <w:rFonts w:ascii="Times New Roman" w:hAnsi="Times New Roman" w:cs="Times New Roman"/>
                <w:b/>
                <w:bCs/>
              </w:rPr>
            </w:pPr>
            <w:r w:rsidRPr="007319E7">
              <w:rPr>
                <w:rFonts w:ascii="Times New Roman" w:hAnsi="Times New Roman" w:cs="Times New Roman"/>
                <w:b/>
                <w:bCs/>
              </w:rPr>
              <w:t>Mittearvestatud.</w:t>
            </w:r>
          </w:p>
          <w:p w14:paraId="511DEC99" w14:textId="77777777" w:rsidR="007319E7" w:rsidRPr="00AE20F2" w:rsidRDefault="007319E7" w:rsidP="007319E7">
            <w:pPr>
              <w:spacing w:line="276" w:lineRule="auto"/>
              <w:jc w:val="both"/>
              <w:rPr>
                <w:rFonts w:ascii="Times New Roman" w:hAnsi="Times New Roman" w:cs="Times New Roman"/>
              </w:rPr>
            </w:pPr>
            <w:r w:rsidRPr="00AE20F2">
              <w:rPr>
                <w:rFonts w:ascii="Times New Roman" w:hAnsi="Times New Roman" w:cs="Times New Roman"/>
              </w:rPr>
              <w:t>Tegemist oli poliitilise resolutsiooniga, mille eesmärk oli rõhutada ettevaatuspõhimõtte tähtsust ja vajadust jätkata teadusuuringuid elektromagnetväljade tervisemõjude osas. Tegemist ei ole õiguslikult siduva aktiga ega teadusliku eksperthinnanguga, vaid poliitilise soovitusega. Resolutsioon 1815 ei sisalda uusi teaduslikke analüüse ega riskihinnanguid, vaid tugineb üldisele ettevaatuspõhimõttele.</w:t>
            </w:r>
          </w:p>
          <w:p w14:paraId="040A8227" w14:textId="77777777" w:rsidR="007319E7" w:rsidRPr="00AE20F2" w:rsidRDefault="007319E7" w:rsidP="007319E7">
            <w:pPr>
              <w:spacing w:line="276" w:lineRule="auto"/>
              <w:jc w:val="both"/>
              <w:rPr>
                <w:rFonts w:ascii="Times New Roman" w:hAnsi="Times New Roman" w:cs="Times New Roman"/>
              </w:rPr>
            </w:pPr>
          </w:p>
          <w:p w14:paraId="222FC592" w14:textId="77777777" w:rsidR="007319E7" w:rsidRPr="00AE20F2" w:rsidRDefault="007319E7" w:rsidP="007319E7">
            <w:pPr>
              <w:spacing w:line="276" w:lineRule="auto"/>
              <w:jc w:val="both"/>
              <w:rPr>
                <w:rFonts w:ascii="Times New Roman" w:hAnsi="Times New Roman" w:cs="Times New Roman"/>
              </w:rPr>
            </w:pPr>
            <w:r w:rsidRPr="00AE20F2">
              <w:rPr>
                <w:rFonts w:ascii="Times New Roman" w:hAnsi="Times New Roman" w:cs="Times New Roman"/>
              </w:rPr>
              <w:t>Mis puudutab Eesti teadlastelt (</w:t>
            </w:r>
            <w:proofErr w:type="spellStart"/>
            <w:r w:rsidRPr="00AE20F2">
              <w:rPr>
                <w:rFonts w:ascii="Times New Roman" w:hAnsi="Times New Roman" w:cs="Times New Roman"/>
              </w:rPr>
              <w:t>Taltech</w:t>
            </w:r>
            <w:proofErr w:type="spellEnd"/>
            <w:r w:rsidRPr="00AE20F2">
              <w:rPr>
                <w:rFonts w:ascii="Times New Roman" w:hAnsi="Times New Roman" w:cs="Times New Roman"/>
              </w:rPr>
              <w:t>) tellitud 5GEMF lõpparuannet, siis oli seal märgitud, et „</w:t>
            </w:r>
            <w:r w:rsidRPr="007319E7">
              <w:rPr>
                <w:rFonts w:ascii="Times New Roman" w:hAnsi="Times New Roman" w:cs="Times New Roman"/>
                <w:i/>
                <w:iCs/>
              </w:rPr>
              <w:t>Arvesse võttes nii raadiokiirguse taseme mõõtetulemusi kui ka halvima juhu simulatsiooni, leidsime, et 6 V/m (0,1 W/m2 ) on tase, mis peaks tagama raadiokiirguse tervisemõju minimaalse tõenäosuse seejuures mitte piirates tehnoloogilisi rakendusi ega tehnoloogia arengut.</w:t>
            </w:r>
            <w:r w:rsidRPr="00AE20F2">
              <w:rPr>
                <w:rFonts w:ascii="Times New Roman" w:hAnsi="Times New Roman" w:cs="Times New Roman"/>
              </w:rPr>
              <w:t>“</w:t>
            </w:r>
          </w:p>
          <w:p w14:paraId="1DBB3CBF" w14:textId="77777777" w:rsidR="007319E7" w:rsidRPr="00AE20F2" w:rsidRDefault="007319E7" w:rsidP="007319E7">
            <w:pPr>
              <w:spacing w:line="276" w:lineRule="auto"/>
              <w:jc w:val="both"/>
              <w:rPr>
                <w:rFonts w:ascii="Times New Roman" w:hAnsi="Times New Roman" w:cs="Times New Roman"/>
              </w:rPr>
            </w:pPr>
            <w:proofErr w:type="spellStart"/>
            <w:r w:rsidRPr="00AE20F2">
              <w:rPr>
                <w:rFonts w:ascii="Times New Roman" w:hAnsi="Times New Roman" w:cs="Times New Roman"/>
              </w:rPr>
              <w:t>Taltechi</w:t>
            </w:r>
            <w:proofErr w:type="spellEnd"/>
            <w:r w:rsidRPr="00AE20F2">
              <w:rPr>
                <w:rFonts w:ascii="Times New Roman" w:hAnsi="Times New Roman" w:cs="Times New Roman"/>
              </w:rPr>
              <w:t xml:space="preserve"> hinnangu („seejuures mitte piirates tehnoloogilisi rakendusi ega tehnoloogia arengut“) aluseks polnud aga uuringus tehtud mõjuanalüüsi ega esitatud täiendavad </w:t>
            </w:r>
            <w:r w:rsidRPr="00AE20F2">
              <w:rPr>
                <w:rFonts w:ascii="Times New Roman" w:hAnsi="Times New Roman" w:cs="Times New Roman"/>
              </w:rPr>
              <w:lastRenderedPageBreak/>
              <w:t>argumente selle väite tõendamiseks. Seetõttu oli vaja ka teadlaste pakutud piirnormide asjakohasust ja rakendatavust omakorda ministeeriumil koostöös teiste asjaomaste osapooltega hinnata.</w:t>
            </w:r>
          </w:p>
          <w:p w14:paraId="33162289" w14:textId="77777777" w:rsidR="007319E7" w:rsidRPr="00AE20F2" w:rsidRDefault="007319E7" w:rsidP="007319E7">
            <w:pPr>
              <w:spacing w:line="276" w:lineRule="auto"/>
              <w:jc w:val="both"/>
              <w:rPr>
                <w:rFonts w:ascii="Times New Roman" w:hAnsi="Times New Roman" w:cs="Times New Roman"/>
              </w:rPr>
            </w:pPr>
            <w:r w:rsidRPr="00AE20F2">
              <w:rPr>
                <w:rFonts w:ascii="Times New Roman" w:hAnsi="Times New Roman" w:cs="Times New Roman"/>
              </w:rPr>
              <w:t xml:space="preserve">Selleks palusime 2024. a nii </w:t>
            </w:r>
            <w:proofErr w:type="spellStart"/>
            <w:r w:rsidRPr="00AE20F2">
              <w:rPr>
                <w:rFonts w:ascii="Times New Roman" w:hAnsi="Times New Roman" w:cs="Times New Roman"/>
              </w:rPr>
              <w:t>Taltech</w:t>
            </w:r>
            <w:proofErr w:type="spellEnd"/>
            <w:r w:rsidRPr="00AE20F2">
              <w:rPr>
                <w:rFonts w:ascii="Times New Roman" w:hAnsi="Times New Roman" w:cs="Times New Roman"/>
              </w:rPr>
              <w:t xml:space="preserve"> enda kui side valdkonnas pädeva Eesti Infotehnoloogia ja Telekommunikatsiooni Liidu ning Terviseameti seisukohti selles osas, et juhul kui sotsiaalminister kehtestab mitteioniseeriva kiirguse elukeskkonna määruse § 6 sätestatud elektrivälja tugevuse ja võimsustiheduse piirväärtused vastavalt </w:t>
            </w:r>
            <w:proofErr w:type="spellStart"/>
            <w:r w:rsidRPr="00AE20F2">
              <w:rPr>
                <w:rFonts w:ascii="Times New Roman" w:hAnsi="Times New Roman" w:cs="Times New Roman"/>
              </w:rPr>
              <w:t>Taltech</w:t>
            </w:r>
            <w:proofErr w:type="spellEnd"/>
            <w:r w:rsidRPr="00AE20F2">
              <w:rPr>
                <w:rFonts w:ascii="Times New Roman" w:hAnsi="Times New Roman" w:cs="Times New Roman"/>
              </w:rPr>
              <w:t xml:space="preserve"> töös märgitud ettepanekutele, siis kas ja milline on eeldatav mõju infotehnoloogiale ja telekommunikatsiooni teenustele Eestis ning samuti kuidas muutub terviserisk. Eraldi kutsuti selleks kokku ka töögrupp 17.02.2025, kuhu kuulusid eksperdid Terviseametist, </w:t>
            </w:r>
            <w:proofErr w:type="spellStart"/>
            <w:r w:rsidRPr="00AE20F2">
              <w:rPr>
                <w:rFonts w:ascii="Times New Roman" w:hAnsi="Times New Roman" w:cs="Times New Roman"/>
              </w:rPr>
              <w:t>Taltechist</w:t>
            </w:r>
            <w:proofErr w:type="spellEnd"/>
            <w:r w:rsidRPr="00AE20F2">
              <w:rPr>
                <w:rFonts w:ascii="Times New Roman" w:hAnsi="Times New Roman" w:cs="Times New Roman"/>
              </w:rPr>
              <w:t>, Tartu Ülikoolist, Tarbijakaitse ja Tehnilise Järelevalve Ametist, Eesti Infotehnoloogia ja Telekommunikatsiooni Liidust</w:t>
            </w:r>
          </w:p>
          <w:p w14:paraId="7337AF9E" w14:textId="77777777" w:rsidR="007319E7" w:rsidRPr="00AE20F2" w:rsidRDefault="007319E7" w:rsidP="007319E7">
            <w:pPr>
              <w:spacing w:line="276" w:lineRule="auto"/>
              <w:jc w:val="both"/>
              <w:rPr>
                <w:rFonts w:ascii="Times New Roman" w:hAnsi="Times New Roman" w:cs="Times New Roman"/>
              </w:rPr>
            </w:pPr>
            <w:r w:rsidRPr="00AE20F2">
              <w:rPr>
                <w:rFonts w:ascii="Times New Roman" w:hAnsi="Times New Roman" w:cs="Times New Roman"/>
              </w:rPr>
              <w:t>jt ning hiljem jätkusid tehnilisemad arutelud kitsamas spetsialistide ringis 04.04.2025. Tutvustasime mõju hinnangu järeldusi ka MTÜ-le Kogukonna hüvanguks, mh eraldi koosolekul</w:t>
            </w:r>
            <w:r>
              <w:rPr>
                <w:rFonts w:ascii="Times New Roman" w:hAnsi="Times New Roman" w:cs="Times New Roman"/>
              </w:rPr>
              <w:t xml:space="preserve"> (26.06.2025)</w:t>
            </w:r>
            <w:r w:rsidRPr="00AE20F2">
              <w:rPr>
                <w:rFonts w:ascii="Times New Roman" w:hAnsi="Times New Roman" w:cs="Times New Roman"/>
              </w:rPr>
              <w:t xml:space="preserve">. </w:t>
            </w:r>
          </w:p>
          <w:p w14:paraId="3A593609" w14:textId="77777777" w:rsidR="007319E7" w:rsidRPr="00AE20F2" w:rsidRDefault="007319E7" w:rsidP="007319E7">
            <w:pPr>
              <w:spacing w:line="276" w:lineRule="auto"/>
              <w:jc w:val="both"/>
              <w:rPr>
                <w:rFonts w:ascii="Times New Roman" w:hAnsi="Times New Roman" w:cs="Times New Roman"/>
              </w:rPr>
            </w:pPr>
            <w:r w:rsidRPr="00AE20F2">
              <w:rPr>
                <w:rFonts w:ascii="Times New Roman" w:hAnsi="Times New Roman" w:cs="Times New Roman"/>
              </w:rPr>
              <w:t xml:space="preserve">Mõju hinnangust selgus, et </w:t>
            </w:r>
            <w:proofErr w:type="spellStart"/>
            <w:r w:rsidRPr="00AE20F2">
              <w:rPr>
                <w:rFonts w:ascii="Times New Roman" w:hAnsi="Times New Roman" w:cs="Times New Roman"/>
              </w:rPr>
              <w:t>Taltechi</w:t>
            </w:r>
            <w:proofErr w:type="spellEnd"/>
            <w:r w:rsidRPr="00AE20F2">
              <w:rPr>
                <w:rFonts w:ascii="Times New Roman" w:hAnsi="Times New Roman" w:cs="Times New Roman"/>
              </w:rPr>
              <w:t xml:space="preserve"> pakutud uute normide puhul tuleks Terviseameti toiminguna kiirgusallika ohutsooni suurendada kümne kordselt, mis tähendaks, et olemasolevaid ja uusi tugijaamu peaks hakkama märkimisväärselt piirama ja ümber paigutama või nende väljundvõimsust vähendama, mis tähendaks omakorda mobiilside teenuspiirkondade vähenemist, teenuse kvaliteedi ja kättesaadavuse langust ning ka negatiivset mõju elutähtsate teenuste osutamisele (politsei, kiirabi, Häirekeskus). Tugijaamade väljundvõimsuse </w:t>
            </w:r>
            <w:r w:rsidRPr="00AE20F2">
              <w:rPr>
                <w:rFonts w:ascii="Times New Roman" w:hAnsi="Times New Roman" w:cs="Times New Roman"/>
              </w:rPr>
              <w:lastRenderedPageBreak/>
              <w:t>vähendamise tõttu tekiks rohkem seadmeid, mis tähendaks suuremat keskkonnamõju ja visuaalse reostuse suurenemist.</w:t>
            </w:r>
          </w:p>
          <w:p w14:paraId="0B7AD801" w14:textId="77777777" w:rsidR="007319E7" w:rsidRPr="00AE20F2" w:rsidRDefault="007319E7" w:rsidP="007319E7">
            <w:pPr>
              <w:spacing w:line="276" w:lineRule="auto"/>
              <w:jc w:val="both"/>
              <w:rPr>
                <w:rFonts w:ascii="Times New Roman" w:hAnsi="Times New Roman" w:cs="Times New Roman"/>
              </w:rPr>
            </w:pPr>
            <w:r w:rsidRPr="00AE20F2">
              <w:rPr>
                <w:rFonts w:ascii="Times New Roman" w:hAnsi="Times New Roman" w:cs="Times New Roman"/>
              </w:rPr>
              <w:t xml:space="preserve">Kokkuvõttes, hindasime </w:t>
            </w:r>
            <w:proofErr w:type="spellStart"/>
            <w:r w:rsidRPr="00AE20F2">
              <w:rPr>
                <w:rFonts w:ascii="Times New Roman" w:hAnsi="Times New Roman" w:cs="Times New Roman"/>
              </w:rPr>
              <w:t>Taltech</w:t>
            </w:r>
            <w:proofErr w:type="spellEnd"/>
            <w:r w:rsidRPr="00AE20F2">
              <w:rPr>
                <w:rFonts w:ascii="Times New Roman" w:hAnsi="Times New Roman" w:cs="Times New Roman"/>
              </w:rPr>
              <w:t xml:space="preserve"> piirnormi negatiivseid mõjusid ebaproportsionaalselt suureks võrreldes terviseriski maandamise efektiga. Ka </w:t>
            </w:r>
            <w:proofErr w:type="spellStart"/>
            <w:r w:rsidRPr="00AE20F2">
              <w:rPr>
                <w:rFonts w:ascii="Times New Roman" w:hAnsi="Times New Roman" w:cs="Times New Roman"/>
              </w:rPr>
              <w:t>Taltech</w:t>
            </w:r>
            <w:proofErr w:type="spellEnd"/>
            <w:r w:rsidRPr="00AE20F2">
              <w:rPr>
                <w:rFonts w:ascii="Times New Roman" w:hAnsi="Times New Roman" w:cs="Times New Roman"/>
              </w:rPr>
              <w:t xml:space="preserve"> kommenteeris teemat järgmiselt: tegelikud mõõtmised keskkonnas ei ületa 1 V/m, seetõttu piirnormide karmistamisel on vähene praktiline kasu tervise kaitsmise kontekstis.</w:t>
            </w:r>
          </w:p>
          <w:p w14:paraId="35E22480" w14:textId="74371B3E" w:rsidR="007319E7" w:rsidRPr="00D2676D" w:rsidRDefault="007319E7" w:rsidP="007319E7">
            <w:pPr>
              <w:spacing w:line="276" w:lineRule="auto"/>
              <w:jc w:val="both"/>
              <w:rPr>
                <w:rFonts w:ascii="Times New Roman" w:hAnsi="Times New Roman" w:cs="Times New Roman"/>
              </w:rPr>
            </w:pPr>
          </w:p>
        </w:tc>
      </w:tr>
      <w:tr w:rsidR="00A265BC" w:rsidRPr="00D963AE" w14:paraId="085C9344" w14:textId="77777777" w:rsidTr="14A94AAC">
        <w:trPr>
          <w:jc w:val="center"/>
        </w:trPr>
        <w:tc>
          <w:tcPr>
            <w:tcW w:w="1129" w:type="dxa"/>
            <w:shd w:val="clear" w:color="auto" w:fill="auto"/>
          </w:tcPr>
          <w:p w14:paraId="1B3A7D52" w14:textId="14DF7BAA" w:rsidR="00A265BC" w:rsidRPr="00D963AE" w:rsidRDefault="00A265BC" w:rsidP="00A265BC">
            <w:pPr>
              <w:spacing w:line="276" w:lineRule="auto"/>
              <w:jc w:val="both"/>
              <w:rPr>
                <w:rFonts w:ascii="Times New Roman" w:hAnsi="Times New Roman" w:cs="Times New Roman"/>
              </w:rPr>
            </w:pPr>
            <w:r w:rsidRPr="00D963AE">
              <w:rPr>
                <w:rFonts w:ascii="Times New Roman" w:hAnsi="Times New Roman" w:cs="Times New Roman"/>
              </w:rPr>
              <w:lastRenderedPageBreak/>
              <w:t xml:space="preserve"> </w:t>
            </w:r>
          </w:p>
        </w:tc>
        <w:tc>
          <w:tcPr>
            <w:tcW w:w="7524" w:type="dxa"/>
          </w:tcPr>
          <w:p w14:paraId="4D865F88" w14:textId="559E1D1F" w:rsidR="00A265BC" w:rsidRPr="00B5359E" w:rsidRDefault="00E57569" w:rsidP="14A94AAC">
            <w:pPr>
              <w:jc w:val="both"/>
              <w:rPr>
                <w:rFonts w:ascii="Times New Roman" w:eastAsia="Times New Roman" w:hAnsi="Times New Roman" w:cs="Times New Roman"/>
              </w:rPr>
            </w:pPr>
            <w:r w:rsidRPr="14A94AAC">
              <w:rPr>
                <w:rFonts w:ascii="Times New Roman" w:eastAsia="Times New Roman" w:hAnsi="Times New Roman" w:cs="Times New Roman"/>
              </w:rPr>
              <w:t xml:space="preserve">Kasutada mitteioniseeriva kiirguse </w:t>
            </w:r>
            <w:proofErr w:type="spellStart"/>
            <w:r w:rsidRPr="14A94AAC">
              <w:rPr>
                <w:rFonts w:ascii="Times New Roman" w:eastAsia="Times New Roman" w:hAnsi="Times New Roman" w:cs="Times New Roman"/>
              </w:rPr>
              <w:t>mõõtemeetodika</w:t>
            </w:r>
            <w:proofErr w:type="spellEnd"/>
            <w:r w:rsidRPr="14A94AAC">
              <w:rPr>
                <w:rFonts w:ascii="Times New Roman" w:eastAsia="Times New Roman" w:hAnsi="Times New Roman" w:cs="Times New Roman"/>
              </w:rPr>
              <w:t xml:space="preserve"> puhul ka tippväärtuste meetodit, mis vastupidiselt keskmiste väärtuste meetodile näitab tegelikku olukorda.</w:t>
            </w:r>
          </w:p>
          <w:p w14:paraId="2DE66179" w14:textId="285D806E" w:rsidR="00A265BC" w:rsidRPr="00B5359E" w:rsidRDefault="00A265BC" w:rsidP="00A265BC">
            <w:pPr>
              <w:jc w:val="both"/>
              <w:rPr>
                <w:rFonts w:ascii="Times New Roman" w:hAnsi="Times New Roman" w:cs="Times New Roman"/>
                <w:b/>
                <w:bCs/>
              </w:rPr>
            </w:pPr>
          </w:p>
        </w:tc>
        <w:tc>
          <w:tcPr>
            <w:tcW w:w="5676" w:type="dxa"/>
          </w:tcPr>
          <w:p w14:paraId="7A3618A6" w14:textId="1E733023" w:rsidR="00A265BC" w:rsidRPr="00D963AE" w:rsidRDefault="007319E7" w:rsidP="00A265BC">
            <w:pPr>
              <w:spacing w:line="276" w:lineRule="auto"/>
              <w:jc w:val="both"/>
              <w:rPr>
                <w:rFonts w:ascii="Times New Roman" w:hAnsi="Times New Roman" w:cs="Times New Roman"/>
                <w:b/>
                <w:bCs/>
              </w:rPr>
            </w:pPr>
            <w:r>
              <w:rPr>
                <w:rFonts w:ascii="Times New Roman" w:hAnsi="Times New Roman" w:cs="Times New Roman"/>
                <w:b/>
                <w:bCs/>
              </w:rPr>
              <w:t xml:space="preserve">Selgitatud. </w:t>
            </w:r>
            <w:r w:rsidRPr="00C66468">
              <w:rPr>
                <w:rFonts w:ascii="Times New Roman" w:hAnsi="Times New Roman" w:cs="Times New Roman"/>
              </w:rPr>
              <w:t xml:space="preserve">Praegu kehtivad rahvusvahelised ja Eesti piirnormid põhinevad elektromagnetvälja keskmiste väärtuste mõõtmisel, sest teaduslik konsensus kinnitab peamiselt pikaajalise keskmise kokkupuute (termilise mõju) olulisust </w:t>
            </w:r>
            <w:proofErr w:type="spellStart"/>
            <w:r w:rsidRPr="00C66468">
              <w:rPr>
                <w:rFonts w:ascii="Times New Roman" w:hAnsi="Times New Roman" w:cs="Times New Roman"/>
              </w:rPr>
              <w:t>inimtervisele</w:t>
            </w:r>
            <w:proofErr w:type="spellEnd"/>
            <w:r w:rsidRPr="00C66468">
              <w:rPr>
                <w:rFonts w:ascii="Times New Roman" w:hAnsi="Times New Roman" w:cs="Times New Roman"/>
              </w:rPr>
              <w:t>. Tipuväärtuste ehk impulsside mõõtmine on tehniliselt võimalik ning neid kasutatakse teadusuuringutes täiendava parameetrina, kuid siiani ei ole piisavalt teaduslikke tõendeid, et just lühiajalised tipud põhjustaksid inimeste tervisele tõestatult kahjulikke mõjusid. Seetõttu ei ole rahvusvahelised organisatsioonid (nt ICNIRP, WHO) tipuväärtusi praegu siduvates piirnormides kasutusele võtnud. Samas jälgitakse rahvusvaheliselt pidevalt uut teadusinfot, ning kui peaks kogunema piisav hulk usaldusväärseid tõendeid tipp- või modulatsioonimõjude kohta, on piirnormide ja mõõtmismetoodikate muutmine võimalik.</w:t>
            </w:r>
          </w:p>
        </w:tc>
      </w:tr>
      <w:tr w:rsidR="00A265BC" w:rsidRPr="00D963AE" w14:paraId="549B8A41" w14:textId="77777777" w:rsidTr="14A94AAC">
        <w:trPr>
          <w:jc w:val="center"/>
        </w:trPr>
        <w:tc>
          <w:tcPr>
            <w:tcW w:w="1129" w:type="dxa"/>
            <w:shd w:val="clear" w:color="auto" w:fill="auto"/>
          </w:tcPr>
          <w:p w14:paraId="7FEB3C21" w14:textId="77C535B6" w:rsidR="00A265BC" w:rsidRPr="00D963AE" w:rsidRDefault="00A265BC" w:rsidP="00A265BC">
            <w:pPr>
              <w:spacing w:line="276" w:lineRule="auto"/>
              <w:jc w:val="both"/>
              <w:rPr>
                <w:rFonts w:ascii="Times New Roman" w:hAnsi="Times New Roman" w:cs="Times New Roman"/>
              </w:rPr>
            </w:pPr>
          </w:p>
        </w:tc>
        <w:tc>
          <w:tcPr>
            <w:tcW w:w="7524" w:type="dxa"/>
          </w:tcPr>
          <w:p w14:paraId="7E6EB33F" w14:textId="406FBF6C" w:rsidR="00A265BC" w:rsidRPr="00D963AE" w:rsidRDefault="00E57569" w:rsidP="00A265BC">
            <w:pPr>
              <w:jc w:val="both"/>
              <w:rPr>
                <w:rFonts w:ascii="Times New Roman" w:hAnsi="Times New Roman" w:cs="Times New Roman"/>
              </w:rPr>
            </w:pPr>
            <w:r w:rsidRPr="14A94AAC">
              <w:rPr>
                <w:rFonts w:ascii="Times New Roman" w:hAnsi="Times New Roman" w:cs="Times New Roman"/>
              </w:rPr>
              <w:t xml:space="preserve">Kirjutada eelnõusse „Mitteioniseeriva kiirguse ohutuse tagamise nõuded ja hindamise kord” sisse riskirühmade kaitse ja avalikkuse teavitamise kord, mis näeb mh ette meditsiinipersonali teavitamist/harimist </w:t>
            </w:r>
            <w:proofErr w:type="spellStart"/>
            <w:r w:rsidRPr="14A94AAC">
              <w:rPr>
                <w:rFonts w:ascii="Times New Roman" w:hAnsi="Times New Roman" w:cs="Times New Roman"/>
              </w:rPr>
              <w:t>elektroülitundikkuse</w:t>
            </w:r>
            <w:proofErr w:type="spellEnd"/>
            <w:r w:rsidRPr="14A94AAC">
              <w:rPr>
                <w:rFonts w:ascii="Times New Roman" w:hAnsi="Times New Roman" w:cs="Times New Roman"/>
              </w:rPr>
              <w:t xml:space="preserve"> (EÜT) sündroomi teemal, samuti avalikkuse teavitamist juhtmevaba tehnoloogiaga seotud ohtudest ning kaitsemeetmetest. Tehnoloogia areneb tohutu kiirusega ja igal inimesel peab olema teadlikkus ja võimalus end kaitsta!</w:t>
            </w:r>
          </w:p>
        </w:tc>
        <w:tc>
          <w:tcPr>
            <w:tcW w:w="5676" w:type="dxa"/>
          </w:tcPr>
          <w:p w14:paraId="0E113EA3" w14:textId="77777777" w:rsidR="00313816" w:rsidRPr="00C66468" w:rsidRDefault="00313816" w:rsidP="00313816">
            <w:pPr>
              <w:spacing w:line="276" w:lineRule="auto"/>
              <w:jc w:val="both"/>
              <w:rPr>
                <w:rFonts w:ascii="Times New Roman" w:hAnsi="Times New Roman" w:cs="Times New Roman"/>
              </w:rPr>
            </w:pPr>
            <w:r w:rsidRPr="00313816">
              <w:rPr>
                <w:rFonts w:ascii="Times New Roman" w:hAnsi="Times New Roman" w:cs="Times New Roman"/>
              </w:rPr>
              <w:t>M</w:t>
            </w:r>
            <w:r w:rsidRPr="00C66468">
              <w:rPr>
                <w:rFonts w:ascii="Times New Roman" w:hAnsi="Times New Roman" w:cs="Times New Roman"/>
              </w:rPr>
              <w:t>itteioniseeriva kiirguse piirväärtused on seatud selliselt, et need kaitsevad kogu elanikkonda, sealhulgas ka tundlikumaid rühmi (nt lapsed, eakad, krooniliste haigustega inimesed). Rahvusvahelised soovitused (ICNIRP, WHO) ei erista täiendavaid piirväärtusi eraldi riskirühmadele, vaid lähtuvad ohutustasemetest, mis tagavad kaitse kõigile.</w:t>
            </w:r>
          </w:p>
          <w:p w14:paraId="3ADC9515" w14:textId="77777777" w:rsidR="007319E7" w:rsidRPr="00C66468" w:rsidRDefault="007319E7" w:rsidP="007319E7">
            <w:pPr>
              <w:spacing w:line="276" w:lineRule="auto"/>
              <w:jc w:val="both"/>
              <w:rPr>
                <w:rFonts w:ascii="Times New Roman" w:hAnsi="Times New Roman" w:cs="Times New Roman"/>
              </w:rPr>
            </w:pPr>
          </w:p>
          <w:p w14:paraId="3B502617" w14:textId="77777777" w:rsidR="007319E7" w:rsidRPr="00C66468" w:rsidRDefault="007319E7" w:rsidP="007319E7">
            <w:pPr>
              <w:spacing w:line="276" w:lineRule="auto"/>
              <w:jc w:val="both"/>
              <w:rPr>
                <w:rFonts w:ascii="Times New Roman" w:hAnsi="Times New Roman" w:cs="Times New Roman"/>
              </w:rPr>
            </w:pPr>
            <w:proofErr w:type="spellStart"/>
            <w:r w:rsidRPr="00C66468">
              <w:rPr>
                <w:rFonts w:ascii="Times New Roman" w:hAnsi="Times New Roman" w:cs="Times New Roman"/>
              </w:rPr>
              <w:t>Elektroülitundlikkuse</w:t>
            </w:r>
            <w:proofErr w:type="spellEnd"/>
            <w:r w:rsidRPr="00C66468">
              <w:rPr>
                <w:rFonts w:ascii="Times New Roman" w:hAnsi="Times New Roman" w:cs="Times New Roman"/>
              </w:rPr>
              <w:t xml:space="preserve"> (EÜT) sündroomi kohta on rahvusvaheline teaduslik seisukoht, et kuigi inimesed kogevad reaalseid sümptomeid, ei ole siiani tuvastatud seost nende kaebuste ja mitteioniseeriva kiirguse tasemete vahel. Seetõttu ei saa seda käsitleda kui meditsiinilist diagnoosi või eraldi reguleerimist vajavat riskirühma.</w:t>
            </w:r>
          </w:p>
          <w:p w14:paraId="0CD20392" w14:textId="77777777" w:rsidR="007319E7" w:rsidRPr="00C66468" w:rsidRDefault="007319E7" w:rsidP="007319E7">
            <w:pPr>
              <w:spacing w:line="276" w:lineRule="auto"/>
              <w:jc w:val="both"/>
              <w:rPr>
                <w:rFonts w:ascii="Times New Roman" w:hAnsi="Times New Roman" w:cs="Times New Roman"/>
              </w:rPr>
            </w:pPr>
          </w:p>
          <w:p w14:paraId="77DF826D" w14:textId="6FDFA8E4" w:rsidR="00A265BC" w:rsidRPr="00D963AE" w:rsidRDefault="007319E7" w:rsidP="007319E7">
            <w:pPr>
              <w:spacing w:line="276" w:lineRule="auto"/>
              <w:jc w:val="both"/>
              <w:rPr>
                <w:rFonts w:ascii="Times New Roman" w:hAnsi="Times New Roman" w:cs="Times New Roman"/>
                <w:b/>
                <w:bCs/>
              </w:rPr>
            </w:pPr>
            <w:r w:rsidRPr="00C66468">
              <w:rPr>
                <w:rFonts w:ascii="Times New Roman" w:hAnsi="Times New Roman" w:cs="Times New Roman"/>
              </w:rPr>
              <w:t>Avalikkuse ja meditsiinipersonali teavitamine on oluline, kuid see ei kuulu tehnilise piirnorme sätestava määruse reguleerimisalasse. Selliseid tegevusi viiakse ellu laiemalt tervise- ja keskkonnateadlikkuse tõstmise kaudu (nt Terviseameti või teiste vastutavate asutuste kommunikatsiooni kaudu).</w:t>
            </w:r>
          </w:p>
        </w:tc>
      </w:tr>
      <w:tr w:rsidR="00A265BC" w:rsidRPr="00D963AE" w14:paraId="4C536F8B" w14:textId="77777777" w:rsidTr="14A94AAC">
        <w:trPr>
          <w:jc w:val="center"/>
        </w:trPr>
        <w:tc>
          <w:tcPr>
            <w:tcW w:w="1129" w:type="dxa"/>
            <w:shd w:val="clear" w:color="auto" w:fill="auto"/>
          </w:tcPr>
          <w:p w14:paraId="71240533" w14:textId="72CB2873" w:rsidR="00A265BC" w:rsidRDefault="00A265BC" w:rsidP="00A265BC">
            <w:pPr>
              <w:spacing w:line="276" w:lineRule="auto"/>
              <w:jc w:val="both"/>
              <w:rPr>
                <w:rFonts w:ascii="Times New Roman" w:hAnsi="Times New Roman" w:cs="Times New Roman"/>
              </w:rPr>
            </w:pPr>
          </w:p>
        </w:tc>
        <w:tc>
          <w:tcPr>
            <w:tcW w:w="7524" w:type="dxa"/>
          </w:tcPr>
          <w:p w14:paraId="0DE86C11" w14:textId="7CD39F53" w:rsidR="00A265BC" w:rsidRPr="00243ADF" w:rsidRDefault="00E57569" w:rsidP="14A94AAC">
            <w:pPr>
              <w:jc w:val="both"/>
              <w:rPr>
                <w:rFonts w:ascii="Times New Roman" w:hAnsi="Times New Roman" w:cs="Times New Roman"/>
              </w:rPr>
            </w:pPr>
            <w:r w:rsidRPr="14A94AAC">
              <w:rPr>
                <w:rFonts w:ascii="Times New Roman" w:hAnsi="Times New Roman" w:cs="Times New Roman"/>
              </w:rPr>
              <w:t xml:space="preserve">Vähendada kõrgepingeliinide elektriväljatugevuse piirväärtust kümme korda ehk 500 V/m kohta ja projekteerida kõrgepingeliinid maakaablitena, kui need jäävad elumajadele, töökohtadele, </w:t>
            </w:r>
            <w:proofErr w:type="spellStart"/>
            <w:r w:rsidRPr="14A94AAC">
              <w:rPr>
                <w:rFonts w:ascii="Times New Roman" w:hAnsi="Times New Roman" w:cs="Times New Roman"/>
              </w:rPr>
              <w:t>puhkekohtadele</w:t>
            </w:r>
            <w:proofErr w:type="spellEnd"/>
            <w:r w:rsidRPr="14A94AAC">
              <w:rPr>
                <w:rFonts w:ascii="Times New Roman" w:hAnsi="Times New Roman" w:cs="Times New Roman"/>
              </w:rPr>
              <w:t xml:space="preserve"> jms lähemale kui tegelik ohutsoon. Peale selle tuleks arvestada kõrgepingeliinide tegelikku tööpinget, mis on alati suurem liinis olevast pingest, suurendades tegelikku ohtu tervisele.</w:t>
            </w:r>
          </w:p>
        </w:tc>
        <w:tc>
          <w:tcPr>
            <w:tcW w:w="5676" w:type="dxa"/>
          </w:tcPr>
          <w:p w14:paraId="4C65BABF" w14:textId="77777777" w:rsidR="007319E7" w:rsidRPr="00C66468" w:rsidRDefault="007319E7" w:rsidP="007319E7">
            <w:pPr>
              <w:spacing w:line="276" w:lineRule="auto"/>
              <w:jc w:val="both"/>
              <w:rPr>
                <w:rFonts w:ascii="Times New Roman" w:hAnsi="Times New Roman" w:cs="Times New Roman"/>
              </w:rPr>
            </w:pPr>
            <w:r w:rsidRPr="00C66468">
              <w:rPr>
                <w:rFonts w:ascii="Times New Roman" w:hAnsi="Times New Roman" w:cs="Times New Roman"/>
              </w:rPr>
              <w:t>Praegu Eestis kehtivad elektrivälja piirnormid põhinevad rahvusvaheliste organisatsioonide (ICNIRP, WHO) soovitustel. Need piirnormid on seatud selliselt, et kaitsta elanikkonda pikaajalise viibimise korral ka kõrgepingeliinide vahetus läheduses. Eesti piirväärtused tagavad ohutuse kogu elanikkonnale, sealhulgas tundlikumatele rühmadele.</w:t>
            </w:r>
          </w:p>
          <w:p w14:paraId="75BA1ABC" w14:textId="77777777" w:rsidR="007319E7" w:rsidRPr="00C66468" w:rsidRDefault="007319E7" w:rsidP="007319E7">
            <w:pPr>
              <w:spacing w:line="276" w:lineRule="auto"/>
              <w:jc w:val="both"/>
              <w:rPr>
                <w:rFonts w:ascii="Times New Roman" w:hAnsi="Times New Roman" w:cs="Times New Roman"/>
              </w:rPr>
            </w:pPr>
          </w:p>
          <w:p w14:paraId="28868971" w14:textId="7FA086F8" w:rsidR="00A265BC" w:rsidRPr="00D963AE" w:rsidRDefault="007319E7" w:rsidP="007319E7">
            <w:pPr>
              <w:spacing w:line="276" w:lineRule="auto"/>
              <w:jc w:val="both"/>
              <w:rPr>
                <w:rFonts w:ascii="Times New Roman" w:hAnsi="Times New Roman" w:cs="Times New Roman"/>
                <w:b/>
                <w:bCs/>
              </w:rPr>
            </w:pPr>
            <w:r w:rsidRPr="00C66468">
              <w:rPr>
                <w:rFonts w:ascii="Times New Roman" w:hAnsi="Times New Roman" w:cs="Times New Roman"/>
              </w:rPr>
              <w:t>Piirnormide muutmiseks või kümnekordselt karmistamiseks puuduvad hetkel teaduslikud alused. Ka kõrgepingeliinide maa alla viimine ei kuulu mitteioniseeriva kiirguse määruse reguleerimisalasse, vaid on pigem energiataristu planeerimise ja tehniliste investeeringute küsimus, mis sõltub mitmest tegurist (keskkonnamõju, maksumus, töökindlus). Määrus keskendub ohutusnõuete ja mõõtmiskorra sätestamisele, mitte elektrivõrgu tehnilisele planeerimisele.</w:t>
            </w:r>
          </w:p>
        </w:tc>
      </w:tr>
      <w:tr w:rsidR="007319E7" w:rsidRPr="00D963AE" w14:paraId="1BC79B41" w14:textId="77777777" w:rsidTr="14A94AAC">
        <w:trPr>
          <w:jc w:val="center"/>
        </w:trPr>
        <w:tc>
          <w:tcPr>
            <w:tcW w:w="1129" w:type="dxa"/>
            <w:shd w:val="clear" w:color="auto" w:fill="auto"/>
          </w:tcPr>
          <w:p w14:paraId="20AD2966" w14:textId="63AA904F" w:rsidR="007319E7" w:rsidRDefault="007319E7" w:rsidP="007319E7">
            <w:pPr>
              <w:spacing w:line="276" w:lineRule="auto"/>
              <w:jc w:val="both"/>
              <w:rPr>
                <w:rFonts w:ascii="Times New Roman" w:hAnsi="Times New Roman" w:cs="Times New Roman"/>
              </w:rPr>
            </w:pPr>
          </w:p>
        </w:tc>
        <w:tc>
          <w:tcPr>
            <w:tcW w:w="7524" w:type="dxa"/>
          </w:tcPr>
          <w:p w14:paraId="2E19E7FA" w14:textId="29018B52" w:rsidR="007319E7" w:rsidRPr="00B5359E" w:rsidRDefault="007319E7" w:rsidP="007319E7">
            <w:pPr>
              <w:jc w:val="both"/>
              <w:rPr>
                <w:rFonts w:ascii="Times New Roman" w:hAnsi="Times New Roman" w:cs="Times New Roman"/>
              </w:rPr>
            </w:pPr>
            <w:r w:rsidRPr="14A94AAC">
              <w:rPr>
                <w:rFonts w:ascii="Times New Roman" w:hAnsi="Times New Roman" w:cs="Times New Roman"/>
              </w:rPr>
              <w:t xml:space="preserve">Tuleb luua kiirgusvabad „valged alad” kiirgustundlikele/ EÜT sündroomiga inimestele, kus on võimalus elada kas püsivalt või viibida ajutiselt tervise taastamiseks (vt LISA 1, pöördumine </w:t>
            </w:r>
            <w:proofErr w:type="spellStart"/>
            <w:r w:rsidRPr="14A94AAC">
              <w:rPr>
                <w:rFonts w:ascii="Times New Roman" w:hAnsi="Times New Roman" w:cs="Times New Roman"/>
              </w:rPr>
              <w:t>elektroülitundlikkuse</w:t>
            </w:r>
            <w:proofErr w:type="spellEnd"/>
            <w:r w:rsidRPr="14A94AAC">
              <w:rPr>
                <w:rFonts w:ascii="Times New Roman" w:hAnsi="Times New Roman" w:cs="Times New Roman"/>
              </w:rPr>
              <w:t xml:space="preserve"> teemal).</w:t>
            </w:r>
          </w:p>
        </w:tc>
        <w:tc>
          <w:tcPr>
            <w:tcW w:w="5676" w:type="dxa"/>
          </w:tcPr>
          <w:p w14:paraId="15AF71AE" w14:textId="77777777" w:rsidR="007319E7" w:rsidRPr="00C66468" w:rsidRDefault="007319E7" w:rsidP="007319E7">
            <w:pPr>
              <w:spacing w:line="276" w:lineRule="auto"/>
              <w:jc w:val="both"/>
              <w:rPr>
                <w:rFonts w:ascii="Times New Roman" w:hAnsi="Times New Roman" w:cs="Times New Roman"/>
              </w:rPr>
            </w:pPr>
            <w:r w:rsidRPr="00C66468">
              <w:rPr>
                <w:rFonts w:ascii="Times New Roman" w:hAnsi="Times New Roman" w:cs="Times New Roman"/>
              </w:rPr>
              <w:t xml:space="preserve">Rahvusvahelised teadusülevaated (WHO, Euroopa Komisjon, Põhjamaade ekspertkonnad) kinnitavad, et </w:t>
            </w:r>
            <w:proofErr w:type="spellStart"/>
            <w:r w:rsidRPr="00C66468">
              <w:rPr>
                <w:rFonts w:ascii="Times New Roman" w:hAnsi="Times New Roman" w:cs="Times New Roman"/>
              </w:rPr>
              <w:t>elektroülitundlikkuse</w:t>
            </w:r>
            <w:proofErr w:type="spellEnd"/>
            <w:r w:rsidRPr="00C66468">
              <w:rPr>
                <w:rFonts w:ascii="Times New Roman" w:hAnsi="Times New Roman" w:cs="Times New Roman"/>
              </w:rPr>
              <w:t xml:space="preserve"> (EÜT) sümptomid on reaalsed ja võivad mõjutada elukvaliteeti, kuid seni ei ole teaduslikult tuvastatud põhjuslikku seost mitteioniseeriva kiirguse tasemetega. Seetõttu ei ole EÜT praegu rahvusvaheliselt tunnustatud meditsiinilise diagnoosina ega eraldi reguleerimist vajava riskirühmana.</w:t>
            </w:r>
          </w:p>
          <w:p w14:paraId="06A8DBC8" w14:textId="77777777" w:rsidR="007319E7" w:rsidRPr="00C66468" w:rsidRDefault="007319E7" w:rsidP="007319E7">
            <w:pPr>
              <w:spacing w:line="276" w:lineRule="auto"/>
              <w:jc w:val="both"/>
              <w:rPr>
                <w:rFonts w:ascii="Times New Roman" w:hAnsi="Times New Roman" w:cs="Times New Roman"/>
              </w:rPr>
            </w:pPr>
          </w:p>
          <w:p w14:paraId="32E524F5" w14:textId="17044AA5" w:rsidR="007319E7" w:rsidRPr="00D963AE" w:rsidRDefault="007319E7" w:rsidP="007319E7">
            <w:pPr>
              <w:spacing w:line="276" w:lineRule="auto"/>
              <w:jc w:val="both"/>
              <w:rPr>
                <w:rFonts w:ascii="Times New Roman" w:hAnsi="Times New Roman" w:cs="Times New Roman"/>
                <w:b/>
                <w:bCs/>
              </w:rPr>
            </w:pPr>
            <w:r w:rsidRPr="00C66468">
              <w:rPr>
                <w:rFonts w:ascii="Times New Roman" w:hAnsi="Times New Roman" w:cs="Times New Roman"/>
              </w:rPr>
              <w:t xml:space="preserve">„Valgete alade” loomine ei ole õigusaktiga lahendatav küsimus ning ei kuulu mitteioniseeriva kiirguse määruse reguleerimisalasse. Eestis kehtivad piirnormid on seatud viisil, mis kaitsevad kogu elanikkonda, sealhulgas ka tundlikumaid inimesi. EÜT sündroomiga inimeste toetamine on pigem tervishoiu- ja sotsiaalpoliitika küsimus (nt nõustamisteenused, </w:t>
            </w:r>
            <w:proofErr w:type="spellStart"/>
            <w:r w:rsidRPr="00C66468">
              <w:rPr>
                <w:rFonts w:ascii="Times New Roman" w:hAnsi="Times New Roman" w:cs="Times New Roman"/>
              </w:rPr>
              <w:t>psühhosotsiaalne</w:t>
            </w:r>
            <w:proofErr w:type="spellEnd"/>
            <w:r w:rsidRPr="00C66468">
              <w:rPr>
                <w:rFonts w:ascii="Times New Roman" w:hAnsi="Times New Roman" w:cs="Times New Roman"/>
              </w:rPr>
              <w:t xml:space="preserve"> tugi), mitte </w:t>
            </w:r>
            <w:r>
              <w:rPr>
                <w:rFonts w:ascii="Times New Roman" w:hAnsi="Times New Roman" w:cs="Times New Roman"/>
              </w:rPr>
              <w:t xml:space="preserve">käesoleva piirnorme seadva </w:t>
            </w:r>
            <w:r w:rsidRPr="00C66468">
              <w:rPr>
                <w:rFonts w:ascii="Times New Roman" w:hAnsi="Times New Roman" w:cs="Times New Roman"/>
              </w:rPr>
              <w:t>määruse reguleerimisala.</w:t>
            </w:r>
          </w:p>
        </w:tc>
      </w:tr>
    </w:tbl>
    <w:p w14:paraId="0A54CEA4" w14:textId="42F5D03E" w:rsidR="24BA96C0" w:rsidRPr="00D963AE" w:rsidRDefault="24BA96C0">
      <w:pPr>
        <w:rPr>
          <w:rFonts w:ascii="Times New Roman" w:hAnsi="Times New Roman" w:cs="Times New Roman"/>
        </w:rPr>
      </w:pPr>
    </w:p>
    <w:p w14:paraId="4D04625F" w14:textId="77777777" w:rsidR="006F32EA" w:rsidRPr="00D963AE" w:rsidRDefault="006F32EA" w:rsidP="00FF015D">
      <w:pPr>
        <w:spacing w:line="276" w:lineRule="auto"/>
        <w:jc w:val="both"/>
        <w:rPr>
          <w:rFonts w:ascii="Times New Roman" w:hAnsi="Times New Roman" w:cs="Times New Roman"/>
        </w:rPr>
      </w:pPr>
    </w:p>
    <w:sectPr w:rsidR="006F32EA" w:rsidRPr="00D963AE" w:rsidSect="00517C46">
      <w:headerReference w:type="default" r:id="rId13"/>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23771" w14:textId="77777777" w:rsidR="009522FF" w:rsidRDefault="009522FF" w:rsidP="009F6CAE">
      <w:pPr>
        <w:spacing w:after="0" w:line="240" w:lineRule="auto"/>
      </w:pPr>
      <w:r>
        <w:separator/>
      </w:r>
    </w:p>
  </w:endnote>
  <w:endnote w:type="continuationSeparator" w:id="0">
    <w:p w14:paraId="7493F7B5" w14:textId="77777777" w:rsidR="009522FF" w:rsidRDefault="009522FF" w:rsidP="009F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702278"/>
      <w:docPartObj>
        <w:docPartGallery w:val="Page Numbers (Bottom of Page)"/>
        <w:docPartUnique/>
      </w:docPartObj>
    </w:sdtPr>
    <w:sdtEndPr/>
    <w:sdtContent>
      <w:p w14:paraId="7D047F08" w14:textId="735794BC" w:rsidR="00C31292" w:rsidRDefault="00C31292">
        <w:pPr>
          <w:pStyle w:val="Jalus"/>
          <w:jc w:val="center"/>
        </w:pPr>
        <w:r>
          <w:fldChar w:fldCharType="begin"/>
        </w:r>
        <w:r>
          <w:instrText>PAGE   \* MERGEFORMAT</w:instrText>
        </w:r>
        <w:r>
          <w:fldChar w:fldCharType="separate"/>
        </w:r>
        <w:r w:rsidR="00FC1378">
          <w:rPr>
            <w:noProof/>
          </w:rPr>
          <w:t>8</w:t>
        </w:r>
        <w:r w:rsidR="00FC1378">
          <w:rPr>
            <w:noProof/>
          </w:rPr>
          <w:t>7</w:t>
        </w:r>
        <w:r>
          <w:fldChar w:fldCharType="end"/>
        </w:r>
      </w:p>
    </w:sdtContent>
  </w:sdt>
  <w:p w14:paraId="371799C1" w14:textId="77777777" w:rsidR="00C31292" w:rsidRDefault="00C3129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78CCD" w14:textId="77777777" w:rsidR="009522FF" w:rsidRDefault="009522FF" w:rsidP="009F6CAE">
      <w:pPr>
        <w:spacing w:after="0" w:line="240" w:lineRule="auto"/>
      </w:pPr>
      <w:r>
        <w:separator/>
      </w:r>
    </w:p>
  </w:footnote>
  <w:footnote w:type="continuationSeparator" w:id="0">
    <w:p w14:paraId="14A137CE" w14:textId="77777777" w:rsidR="009522FF" w:rsidRDefault="009522FF" w:rsidP="009F6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4D93" w14:textId="77777777" w:rsidR="00C31292" w:rsidRDefault="00C31292">
    <w:pPr>
      <w:pStyle w:val="Pis"/>
    </w:pPr>
  </w:p>
  <w:p w14:paraId="0CBEE0C3" w14:textId="77777777" w:rsidR="00C31292" w:rsidRDefault="00C3129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038E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A6D5E"/>
    <w:multiLevelType w:val="hybridMultilevel"/>
    <w:tmpl w:val="AD366E84"/>
    <w:lvl w:ilvl="0" w:tplc="7B944E5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2465C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17B82"/>
    <w:multiLevelType w:val="hybridMultilevel"/>
    <w:tmpl w:val="D174EB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B613594"/>
    <w:multiLevelType w:val="hybridMultilevel"/>
    <w:tmpl w:val="9E0E1C12"/>
    <w:lvl w:ilvl="0" w:tplc="E3A859D4">
      <w:start w:val="1"/>
      <w:numFmt w:val="decimal"/>
      <w:lvlText w:val="%1."/>
      <w:lvlJc w:val="left"/>
      <w:pPr>
        <w:ind w:left="720" w:hanging="360"/>
      </w:pPr>
      <w:rPr>
        <w:rFonts w:ascii="Segoe UI" w:hAnsi="Segoe UI" w:cs="Segoe UI" w:hint="default"/>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BCF372E"/>
    <w:multiLevelType w:val="hybridMultilevel"/>
    <w:tmpl w:val="5ED8D7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F9A3686"/>
    <w:multiLevelType w:val="hybridMultilevel"/>
    <w:tmpl w:val="4C6678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1146EF0"/>
    <w:multiLevelType w:val="hybridMultilevel"/>
    <w:tmpl w:val="A406FD54"/>
    <w:lvl w:ilvl="0" w:tplc="04250011">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8" w15:restartNumberingAfterBreak="0">
    <w:nsid w:val="111632B8"/>
    <w:multiLevelType w:val="hybridMultilevel"/>
    <w:tmpl w:val="DE54C3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2DF2A0E"/>
    <w:multiLevelType w:val="hybridMultilevel"/>
    <w:tmpl w:val="0B3083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56B5937"/>
    <w:multiLevelType w:val="hybridMultilevel"/>
    <w:tmpl w:val="2A94DE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C215240"/>
    <w:multiLevelType w:val="hybridMultilevel"/>
    <w:tmpl w:val="513CD44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2D10791D"/>
    <w:multiLevelType w:val="hybridMultilevel"/>
    <w:tmpl w:val="AF9C68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D98515C"/>
    <w:multiLevelType w:val="hybridMultilevel"/>
    <w:tmpl w:val="DEBA47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F6A423E"/>
    <w:multiLevelType w:val="hybridMultilevel"/>
    <w:tmpl w:val="861EC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D3417"/>
    <w:multiLevelType w:val="hybridMultilevel"/>
    <w:tmpl w:val="D14AB9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35D3B00"/>
    <w:multiLevelType w:val="hybridMultilevel"/>
    <w:tmpl w:val="0BA8B1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54C5EF1"/>
    <w:multiLevelType w:val="hybridMultilevel"/>
    <w:tmpl w:val="21D0B0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94263EC"/>
    <w:multiLevelType w:val="hybridMultilevel"/>
    <w:tmpl w:val="B4C6BB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CCB7728"/>
    <w:multiLevelType w:val="hybridMultilevel"/>
    <w:tmpl w:val="CC80D3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F2B11BE"/>
    <w:multiLevelType w:val="hybridMultilevel"/>
    <w:tmpl w:val="1E560D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F805755"/>
    <w:multiLevelType w:val="hybridMultilevel"/>
    <w:tmpl w:val="DEBA47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3706527"/>
    <w:multiLevelType w:val="hybridMultilevel"/>
    <w:tmpl w:val="1CA2F4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5EC3256"/>
    <w:multiLevelType w:val="hybridMultilevel"/>
    <w:tmpl w:val="4C6678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BF1314A"/>
    <w:multiLevelType w:val="hybridMultilevel"/>
    <w:tmpl w:val="6EE816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C0A55CD"/>
    <w:multiLevelType w:val="hybridMultilevel"/>
    <w:tmpl w:val="E4BCAD6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4FD27B8C"/>
    <w:multiLevelType w:val="hybridMultilevel"/>
    <w:tmpl w:val="7710403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40755EC"/>
    <w:multiLevelType w:val="hybridMultilevel"/>
    <w:tmpl w:val="34A85E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49B0A6D"/>
    <w:multiLevelType w:val="hybridMultilevel"/>
    <w:tmpl w:val="8F8699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4B902E3"/>
    <w:multiLevelType w:val="hybridMultilevel"/>
    <w:tmpl w:val="C97A05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71A4369"/>
    <w:multiLevelType w:val="hybridMultilevel"/>
    <w:tmpl w:val="71E4AB10"/>
    <w:lvl w:ilvl="0" w:tplc="9C16680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1" w15:restartNumberingAfterBreak="0">
    <w:nsid w:val="5A484892"/>
    <w:multiLevelType w:val="hybridMultilevel"/>
    <w:tmpl w:val="F4805DB0"/>
    <w:lvl w:ilvl="0" w:tplc="7F3EE2D0">
      <w:start w:val="1"/>
      <w:numFmt w:val="decimal"/>
      <w:lvlText w:val="%1."/>
      <w:lvlJc w:val="left"/>
      <w:pPr>
        <w:ind w:left="720" w:hanging="360"/>
      </w:pPr>
      <w:rPr>
        <w:rFonts w:hint="default"/>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D7C2A67"/>
    <w:multiLevelType w:val="hybridMultilevel"/>
    <w:tmpl w:val="301637C2"/>
    <w:lvl w:ilvl="0" w:tplc="282EBF32">
      <w:start w:val="1"/>
      <w:numFmt w:val="decimal"/>
      <w:lvlText w:val="%1)"/>
      <w:lvlJc w:val="left"/>
      <w:pPr>
        <w:ind w:left="720" w:hanging="360"/>
      </w:pPr>
      <w:rPr>
        <w:rFonts w:cs="Times New Roman"/>
        <w:color w:val="auto"/>
      </w:rPr>
    </w:lvl>
    <w:lvl w:ilvl="1" w:tplc="04250019">
      <w:start w:val="1"/>
      <w:numFmt w:val="decimal"/>
      <w:lvlText w:val="%2."/>
      <w:lvlJc w:val="left"/>
      <w:pPr>
        <w:tabs>
          <w:tab w:val="num" w:pos="1440"/>
        </w:tabs>
        <w:ind w:left="1440" w:hanging="360"/>
      </w:pPr>
      <w:rPr>
        <w:rFonts w:cs="Times New Roman"/>
      </w:rPr>
    </w:lvl>
    <w:lvl w:ilvl="2" w:tplc="0425001B">
      <w:start w:val="1"/>
      <w:numFmt w:val="decimal"/>
      <w:lvlText w:val="%3."/>
      <w:lvlJc w:val="left"/>
      <w:pPr>
        <w:tabs>
          <w:tab w:val="num" w:pos="2160"/>
        </w:tabs>
        <w:ind w:left="2160" w:hanging="36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33" w15:restartNumberingAfterBreak="0">
    <w:nsid w:val="64A14FC0"/>
    <w:multiLevelType w:val="hybridMultilevel"/>
    <w:tmpl w:val="CAEA271C"/>
    <w:lvl w:ilvl="0" w:tplc="DBBC780E">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7310CCD"/>
    <w:multiLevelType w:val="hybridMultilevel"/>
    <w:tmpl w:val="4A0E63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755698A"/>
    <w:multiLevelType w:val="hybridMultilevel"/>
    <w:tmpl w:val="0CD836B2"/>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36" w15:restartNumberingAfterBreak="0">
    <w:nsid w:val="67B84683"/>
    <w:multiLevelType w:val="hybridMultilevel"/>
    <w:tmpl w:val="C21E84A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7" w15:restartNumberingAfterBreak="0">
    <w:nsid w:val="67EF0960"/>
    <w:multiLevelType w:val="multilevel"/>
    <w:tmpl w:val="2524280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EB853D4"/>
    <w:multiLevelType w:val="hybridMultilevel"/>
    <w:tmpl w:val="44F618BA"/>
    <w:lvl w:ilvl="0" w:tplc="42504DC0">
      <w:start w:val="1"/>
      <w:numFmt w:val="decimal"/>
      <w:lvlText w:val="(%1)"/>
      <w:lvlJc w:val="left"/>
      <w:pPr>
        <w:ind w:left="500" w:hanging="4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9" w15:restartNumberingAfterBreak="0">
    <w:nsid w:val="70EC9D6F"/>
    <w:multiLevelType w:val="hybridMultilevel"/>
    <w:tmpl w:val="1E0E4060"/>
    <w:lvl w:ilvl="0" w:tplc="3642DF84">
      <w:start w:val="2"/>
      <w:numFmt w:val="decimal"/>
      <w:lvlText w:val="%1."/>
      <w:lvlJc w:val="left"/>
      <w:pPr>
        <w:ind w:left="720" w:hanging="360"/>
      </w:pPr>
    </w:lvl>
    <w:lvl w:ilvl="1" w:tplc="54CA61AA">
      <w:start w:val="1"/>
      <w:numFmt w:val="lowerLetter"/>
      <w:lvlText w:val="%2."/>
      <w:lvlJc w:val="left"/>
      <w:pPr>
        <w:ind w:left="1440" w:hanging="360"/>
      </w:pPr>
    </w:lvl>
    <w:lvl w:ilvl="2" w:tplc="218A2208">
      <w:start w:val="1"/>
      <w:numFmt w:val="lowerRoman"/>
      <w:lvlText w:val="%3."/>
      <w:lvlJc w:val="right"/>
      <w:pPr>
        <w:ind w:left="2160" w:hanging="180"/>
      </w:pPr>
    </w:lvl>
    <w:lvl w:ilvl="3" w:tplc="E1366CC6">
      <w:start w:val="1"/>
      <w:numFmt w:val="decimal"/>
      <w:lvlText w:val="%4."/>
      <w:lvlJc w:val="left"/>
      <w:pPr>
        <w:ind w:left="2880" w:hanging="360"/>
      </w:pPr>
    </w:lvl>
    <w:lvl w:ilvl="4" w:tplc="71322316">
      <w:start w:val="1"/>
      <w:numFmt w:val="lowerLetter"/>
      <w:lvlText w:val="%5."/>
      <w:lvlJc w:val="left"/>
      <w:pPr>
        <w:ind w:left="3600" w:hanging="360"/>
      </w:pPr>
    </w:lvl>
    <w:lvl w:ilvl="5" w:tplc="47D649FC">
      <w:start w:val="1"/>
      <w:numFmt w:val="lowerRoman"/>
      <w:lvlText w:val="%6."/>
      <w:lvlJc w:val="right"/>
      <w:pPr>
        <w:ind w:left="4320" w:hanging="180"/>
      </w:pPr>
    </w:lvl>
    <w:lvl w:ilvl="6" w:tplc="D85822BE">
      <w:start w:val="1"/>
      <w:numFmt w:val="decimal"/>
      <w:lvlText w:val="%7."/>
      <w:lvlJc w:val="left"/>
      <w:pPr>
        <w:ind w:left="5040" w:hanging="360"/>
      </w:pPr>
    </w:lvl>
    <w:lvl w:ilvl="7" w:tplc="29062954">
      <w:start w:val="1"/>
      <w:numFmt w:val="lowerLetter"/>
      <w:lvlText w:val="%8."/>
      <w:lvlJc w:val="left"/>
      <w:pPr>
        <w:ind w:left="5760" w:hanging="360"/>
      </w:pPr>
    </w:lvl>
    <w:lvl w:ilvl="8" w:tplc="D5E8A5C0">
      <w:start w:val="1"/>
      <w:numFmt w:val="lowerRoman"/>
      <w:lvlText w:val="%9."/>
      <w:lvlJc w:val="right"/>
      <w:pPr>
        <w:ind w:left="6480" w:hanging="180"/>
      </w:pPr>
    </w:lvl>
  </w:abstractNum>
  <w:abstractNum w:abstractNumId="40" w15:restartNumberingAfterBreak="0">
    <w:nsid w:val="75145E06"/>
    <w:multiLevelType w:val="multilevel"/>
    <w:tmpl w:val="9990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0C4EC4"/>
    <w:multiLevelType w:val="multilevel"/>
    <w:tmpl w:val="F402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F220B6"/>
    <w:multiLevelType w:val="hybridMultilevel"/>
    <w:tmpl w:val="CE4A8618"/>
    <w:lvl w:ilvl="0" w:tplc="BD18F97E">
      <w:start w:val="1"/>
      <w:numFmt w:val="decimal"/>
      <w:lvlText w:val="%1."/>
      <w:lvlJc w:val="left"/>
      <w:pPr>
        <w:ind w:left="1080" w:hanging="360"/>
      </w:pPr>
      <w:rPr>
        <w:color w:val="000000"/>
      </w:r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abstractNum w:abstractNumId="43" w15:restartNumberingAfterBreak="0">
    <w:nsid w:val="7A020139"/>
    <w:multiLevelType w:val="hybridMultilevel"/>
    <w:tmpl w:val="27EE52BC"/>
    <w:lvl w:ilvl="0" w:tplc="6FCEBD4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4" w15:restartNumberingAfterBreak="0">
    <w:nsid w:val="7A71149F"/>
    <w:multiLevelType w:val="hybridMultilevel"/>
    <w:tmpl w:val="2A28C6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FBF2475"/>
    <w:multiLevelType w:val="hybridMultilevel"/>
    <w:tmpl w:val="899EFAA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12731430">
    <w:abstractNumId w:val="39"/>
  </w:num>
  <w:num w:numId="2" w16cid:durableId="96146508">
    <w:abstractNumId w:val="8"/>
  </w:num>
  <w:num w:numId="3" w16cid:durableId="1322196684">
    <w:abstractNumId w:val="28"/>
  </w:num>
  <w:num w:numId="4" w16cid:durableId="82575734">
    <w:abstractNumId w:val="19"/>
  </w:num>
  <w:num w:numId="5" w16cid:durableId="1577082531">
    <w:abstractNumId w:val="32"/>
  </w:num>
  <w:num w:numId="6" w16cid:durableId="480194104">
    <w:abstractNumId w:val="14"/>
  </w:num>
  <w:num w:numId="7" w16cid:durableId="500968309">
    <w:abstractNumId w:val="38"/>
  </w:num>
  <w:num w:numId="8" w16cid:durableId="270091389">
    <w:abstractNumId w:val="36"/>
  </w:num>
  <w:num w:numId="9" w16cid:durableId="1655914499">
    <w:abstractNumId w:val="33"/>
  </w:num>
  <w:num w:numId="10" w16cid:durableId="9132723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44549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4816255">
    <w:abstractNumId w:val="7"/>
  </w:num>
  <w:num w:numId="13" w16cid:durableId="1871213440">
    <w:abstractNumId w:val="45"/>
  </w:num>
  <w:num w:numId="14" w16cid:durableId="1022249126">
    <w:abstractNumId w:val="16"/>
  </w:num>
  <w:num w:numId="15" w16cid:durableId="248394105">
    <w:abstractNumId w:val="24"/>
  </w:num>
  <w:num w:numId="16" w16cid:durableId="271474825">
    <w:abstractNumId w:val="29"/>
  </w:num>
  <w:num w:numId="17" w16cid:durableId="816072334">
    <w:abstractNumId w:val="3"/>
  </w:num>
  <w:num w:numId="18" w16cid:durableId="1581014814">
    <w:abstractNumId w:val="22"/>
  </w:num>
  <w:num w:numId="19" w16cid:durableId="74984385">
    <w:abstractNumId w:val="25"/>
  </w:num>
  <w:num w:numId="20" w16cid:durableId="1142623013">
    <w:abstractNumId w:val="26"/>
  </w:num>
  <w:num w:numId="21" w16cid:durableId="1751387402">
    <w:abstractNumId w:val="17"/>
  </w:num>
  <w:num w:numId="22" w16cid:durableId="218977219">
    <w:abstractNumId w:val="20"/>
  </w:num>
  <w:num w:numId="23" w16cid:durableId="530728573">
    <w:abstractNumId w:val="23"/>
  </w:num>
  <w:num w:numId="24" w16cid:durableId="1556233383">
    <w:abstractNumId w:val="31"/>
  </w:num>
  <w:num w:numId="25" w16cid:durableId="409623350">
    <w:abstractNumId w:val="43"/>
  </w:num>
  <w:num w:numId="26" w16cid:durableId="937104388">
    <w:abstractNumId w:val="6"/>
  </w:num>
  <w:num w:numId="27" w16cid:durableId="1456868532">
    <w:abstractNumId w:val="21"/>
  </w:num>
  <w:num w:numId="28" w16cid:durableId="8989802">
    <w:abstractNumId w:val="13"/>
  </w:num>
  <w:num w:numId="29" w16cid:durableId="1688169480">
    <w:abstractNumId w:val="9"/>
  </w:num>
  <w:num w:numId="30" w16cid:durableId="1708410477">
    <w:abstractNumId w:val="10"/>
  </w:num>
  <w:num w:numId="31" w16cid:durableId="2050299811">
    <w:abstractNumId w:val="12"/>
  </w:num>
  <w:num w:numId="32" w16cid:durableId="1005863543">
    <w:abstractNumId w:val="44"/>
  </w:num>
  <w:num w:numId="33" w16cid:durableId="837158199">
    <w:abstractNumId w:val="40"/>
  </w:num>
  <w:num w:numId="34" w16cid:durableId="772940111">
    <w:abstractNumId w:val="18"/>
  </w:num>
  <w:num w:numId="35" w16cid:durableId="1240366370">
    <w:abstractNumId w:val="30"/>
  </w:num>
  <w:num w:numId="36" w16cid:durableId="243226210">
    <w:abstractNumId w:val="34"/>
  </w:num>
  <w:num w:numId="37" w16cid:durableId="472262083">
    <w:abstractNumId w:val="5"/>
  </w:num>
  <w:num w:numId="38" w16cid:durableId="287393057">
    <w:abstractNumId w:val="4"/>
  </w:num>
  <w:num w:numId="39" w16cid:durableId="1668168496">
    <w:abstractNumId w:val="37"/>
  </w:num>
  <w:num w:numId="40" w16cid:durableId="1114715541">
    <w:abstractNumId w:val="41"/>
  </w:num>
  <w:num w:numId="41" w16cid:durableId="1639534299">
    <w:abstractNumId w:val="11"/>
  </w:num>
  <w:num w:numId="42" w16cid:durableId="989678654">
    <w:abstractNumId w:val="27"/>
  </w:num>
  <w:num w:numId="43" w16cid:durableId="1594705627">
    <w:abstractNumId w:val="1"/>
  </w:num>
  <w:num w:numId="44" w16cid:durableId="8179162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98990674">
    <w:abstractNumId w:val="15"/>
  </w:num>
  <w:num w:numId="46" w16cid:durableId="1719623476">
    <w:abstractNumId w:val="0"/>
  </w:num>
  <w:num w:numId="47" w16cid:durableId="709258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wNDAztzQ0NTEwsTBU0lEKTi0uzszPAykwqgUAGBtHfCwAAAA="/>
  </w:docVars>
  <w:rsids>
    <w:rsidRoot w:val="009F6CAE"/>
    <w:rsid w:val="00000A67"/>
    <w:rsid w:val="000012FE"/>
    <w:rsid w:val="000053F1"/>
    <w:rsid w:val="00010BDA"/>
    <w:rsid w:val="00016EA5"/>
    <w:rsid w:val="00017923"/>
    <w:rsid w:val="000210B4"/>
    <w:rsid w:val="000247DE"/>
    <w:rsid w:val="00025160"/>
    <w:rsid w:val="00025F20"/>
    <w:rsid w:val="000277ED"/>
    <w:rsid w:val="00027DAE"/>
    <w:rsid w:val="0003099C"/>
    <w:rsid w:val="00032962"/>
    <w:rsid w:val="00034200"/>
    <w:rsid w:val="000354E3"/>
    <w:rsid w:val="00036D54"/>
    <w:rsid w:val="00037312"/>
    <w:rsid w:val="000373B6"/>
    <w:rsid w:val="0003778F"/>
    <w:rsid w:val="00042365"/>
    <w:rsid w:val="00042635"/>
    <w:rsid w:val="00045599"/>
    <w:rsid w:val="00045BAE"/>
    <w:rsid w:val="0004639E"/>
    <w:rsid w:val="00047108"/>
    <w:rsid w:val="00047928"/>
    <w:rsid w:val="00050934"/>
    <w:rsid w:val="00050AB8"/>
    <w:rsid w:val="00052B87"/>
    <w:rsid w:val="00056BC2"/>
    <w:rsid w:val="000616D6"/>
    <w:rsid w:val="000647D0"/>
    <w:rsid w:val="00065A67"/>
    <w:rsid w:val="000704C0"/>
    <w:rsid w:val="000717FE"/>
    <w:rsid w:val="000742D3"/>
    <w:rsid w:val="0007573E"/>
    <w:rsid w:val="00080305"/>
    <w:rsid w:val="0008106B"/>
    <w:rsid w:val="0008466A"/>
    <w:rsid w:val="000855F4"/>
    <w:rsid w:val="00091147"/>
    <w:rsid w:val="00091E4E"/>
    <w:rsid w:val="00094880"/>
    <w:rsid w:val="00094B0D"/>
    <w:rsid w:val="000952EF"/>
    <w:rsid w:val="0009646C"/>
    <w:rsid w:val="00097AA5"/>
    <w:rsid w:val="00097ACD"/>
    <w:rsid w:val="000A01E7"/>
    <w:rsid w:val="000A0536"/>
    <w:rsid w:val="000A2B29"/>
    <w:rsid w:val="000A2FB5"/>
    <w:rsid w:val="000A4946"/>
    <w:rsid w:val="000A65E2"/>
    <w:rsid w:val="000A66D5"/>
    <w:rsid w:val="000A7315"/>
    <w:rsid w:val="000B0E47"/>
    <w:rsid w:val="000B3BDF"/>
    <w:rsid w:val="000B57C5"/>
    <w:rsid w:val="000B5A72"/>
    <w:rsid w:val="000B6E79"/>
    <w:rsid w:val="000B7081"/>
    <w:rsid w:val="000B7389"/>
    <w:rsid w:val="000BF19F"/>
    <w:rsid w:val="000C205D"/>
    <w:rsid w:val="000C22EE"/>
    <w:rsid w:val="000C3B11"/>
    <w:rsid w:val="000C3CEE"/>
    <w:rsid w:val="000C3DFC"/>
    <w:rsid w:val="000C4E59"/>
    <w:rsid w:val="000C6E0A"/>
    <w:rsid w:val="000C7985"/>
    <w:rsid w:val="000D0C00"/>
    <w:rsid w:val="000D1ADA"/>
    <w:rsid w:val="000D2887"/>
    <w:rsid w:val="000D5232"/>
    <w:rsid w:val="000D633D"/>
    <w:rsid w:val="000D72E3"/>
    <w:rsid w:val="000E017D"/>
    <w:rsid w:val="000E1145"/>
    <w:rsid w:val="000E1215"/>
    <w:rsid w:val="000E1C60"/>
    <w:rsid w:val="000E25F4"/>
    <w:rsid w:val="000E2E3A"/>
    <w:rsid w:val="000E3F7B"/>
    <w:rsid w:val="000E5C1A"/>
    <w:rsid w:val="000E616F"/>
    <w:rsid w:val="000E68F3"/>
    <w:rsid w:val="000E6F61"/>
    <w:rsid w:val="000F1EB3"/>
    <w:rsid w:val="000F2370"/>
    <w:rsid w:val="000F2B32"/>
    <w:rsid w:val="000F3302"/>
    <w:rsid w:val="00105CF1"/>
    <w:rsid w:val="00105EF3"/>
    <w:rsid w:val="001102CC"/>
    <w:rsid w:val="00111432"/>
    <w:rsid w:val="00112AF6"/>
    <w:rsid w:val="0011335D"/>
    <w:rsid w:val="0011548E"/>
    <w:rsid w:val="00115E3D"/>
    <w:rsid w:val="00120106"/>
    <w:rsid w:val="0012345B"/>
    <w:rsid w:val="00124E53"/>
    <w:rsid w:val="001258C7"/>
    <w:rsid w:val="00127A9E"/>
    <w:rsid w:val="0013332A"/>
    <w:rsid w:val="00134E67"/>
    <w:rsid w:val="00135427"/>
    <w:rsid w:val="001360F3"/>
    <w:rsid w:val="001365E7"/>
    <w:rsid w:val="00142728"/>
    <w:rsid w:val="00147060"/>
    <w:rsid w:val="00147119"/>
    <w:rsid w:val="00156723"/>
    <w:rsid w:val="0015708A"/>
    <w:rsid w:val="0015723A"/>
    <w:rsid w:val="00160B3F"/>
    <w:rsid w:val="00161866"/>
    <w:rsid w:val="0016353C"/>
    <w:rsid w:val="00163F69"/>
    <w:rsid w:val="001649AA"/>
    <w:rsid w:val="00164F17"/>
    <w:rsid w:val="00165BFA"/>
    <w:rsid w:val="00165D7D"/>
    <w:rsid w:val="00171CBC"/>
    <w:rsid w:val="00175B98"/>
    <w:rsid w:val="001854D8"/>
    <w:rsid w:val="0018751B"/>
    <w:rsid w:val="00190F84"/>
    <w:rsid w:val="00191220"/>
    <w:rsid w:val="001925BB"/>
    <w:rsid w:val="001927C8"/>
    <w:rsid w:val="00192B2A"/>
    <w:rsid w:val="0019542E"/>
    <w:rsid w:val="001A2D9B"/>
    <w:rsid w:val="001A390D"/>
    <w:rsid w:val="001A3ABA"/>
    <w:rsid w:val="001A3D39"/>
    <w:rsid w:val="001A6552"/>
    <w:rsid w:val="001B1BB5"/>
    <w:rsid w:val="001B50B6"/>
    <w:rsid w:val="001B5733"/>
    <w:rsid w:val="001B7A7B"/>
    <w:rsid w:val="001C14C3"/>
    <w:rsid w:val="001C3BED"/>
    <w:rsid w:val="001C647E"/>
    <w:rsid w:val="001C6C1F"/>
    <w:rsid w:val="001D1243"/>
    <w:rsid w:val="001D34DA"/>
    <w:rsid w:val="001D4609"/>
    <w:rsid w:val="001D6787"/>
    <w:rsid w:val="001E0435"/>
    <w:rsid w:val="001E332B"/>
    <w:rsid w:val="001E70E4"/>
    <w:rsid w:val="001E7CB0"/>
    <w:rsid w:val="001F00DA"/>
    <w:rsid w:val="001F2A3A"/>
    <w:rsid w:val="001F3F15"/>
    <w:rsid w:val="00200140"/>
    <w:rsid w:val="0020016B"/>
    <w:rsid w:val="00200188"/>
    <w:rsid w:val="002024DE"/>
    <w:rsid w:val="002078AE"/>
    <w:rsid w:val="00212E62"/>
    <w:rsid w:val="00214D4C"/>
    <w:rsid w:val="002151B1"/>
    <w:rsid w:val="00216FC4"/>
    <w:rsid w:val="002203F5"/>
    <w:rsid w:val="002210B1"/>
    <w:rsid w:val="00221D7B"/>
    <w:rsid w:val="002228FC"/>
    <w:rsid w:val="002253A5"/>
    <w:rsid w:val="00226BB1"/>
    <w:rsid w:val="00227719"/>
    <w:rsid w:val="002348FD"/>
    <w:rsid w:val="0023576C"/>
    <w:rsid w:val="00237222"/>
    <w:rsid w:val="002376A7"/>
    <w:rsid w:val="002422AD"/>
    <w:rsid w:val="00242482"/>
    <w:rsid w:val="00243ADF"/>
    <w:rsid w:val="002443B3"/>
    <w:rsid w:val="00244DA2"/>
    <w:rsid w:val="00245BD7"/>
    <w:rsid w:val="002467EF"/>
    <w:rsid w:val="00250479"/>
    <w:rsid w:val="00251F18"/>
    <w:rsid w:val="00253FDA"/>
    <w:rsid w:val="00255626"/>
    <w:rsid w:val="00262BAE"/>
    <w:rsid w:val="0026483C"/>
    <w:rsid w:val="002653EB"/>
    <w:rsid w:val="0026683B"/>
    <w:rsid w:val="00266C15"/>
    <w:rsid w:val="00270131"/>
    <w:rsid w:val="00274CB1"/>
    <w:rsid w:val="00280AFE"/>
    <w:rsid w:val="00294C53"/>
    <w:rsid w:val="002965A9"/>
    <w:rsid w:val="00296DBC"/>
    <w:rsid w:val="002A0208"/>
    <w:rsid w:val="002A067D"/>
    <w:rsid w:val="002A2102"/>
    <w:rsid w:val="002A2DF9"/>
    <w:rsid w:val="002A36CC"/>
    <w:rsid w:val="002A43EB"/>
    <w:rsid w:val="002A4D82"/>
    <w:rsid w:val="002A5AE9"/>
    <w:rsid w:val="002A6675"/>
    <w:rsid w:val="002A7196"/>
    <w:rsid w:val="002B0627"/>
    <w:rsid w:val="002B1BB7"/>
    <w:rsid w:val="002B5D7E"/>
    <w:rsid w:val="002B7145"/>
    <w:rsid w:val="002B7414"/>
    <w:rsid w:val="002B77E4"/>
    <w:rsid w:val="002C2C41"/>
    <w:rsid w:val="002C3B16"/>
    <w:rsid w:val="002C3CBD"/>
    <w:rsid w:val="002C3E55"/>
    <w:rsid w:val="002C6C44"/>
    <w:rsid w:val="002C6FB8"/>
    <w:rsid w:val="002C7441"/>
    <w:rsid w:val="002C7F7F"/>
    <w:rsid w:val="002D26D8"/>
    <w:rsid w:val="002D47F3"/>
    <w:rsid w:val="002E06FD"/>
    <w:rsid w:val="002E07AC"/>
    <w:rsid w:val="002E12D7"/>
    <w:rsid w:val="002E6781"/>
    <w:rsid w:val="002F1630"/>
    <w:rsid w:val="002F29EB"/>
    <w:rsid w:val="002F4C6C"/>
    <w:rsid w:val="002F563B"/>
    <w:rsid w:val="002F5B53"/>
    <w:rsid w:val="0030069D"/>
    <w:rsid w:val="0030083F"/>
    <w:rsid w:val="00301B9A"/>
    <w:rsid w:val="00301C31"/>
    <w:rsid w:val="0030394E"/>
    <w:rsid w:val="00304D99"/>
    <w:rsid w:val="003054EB"/>
    <w:rsid w:val="0030711E"/>
    <w:rsid w:val="00307162"/>
    <w:rsid w:val="00307AF6"/>
    <w:rsid w:val="00307FBA"/>
    <w:rsid w:val="00310AD6"/>
    <w:rsid w:val="0031377E"/>
    <w:rsid w:val="00313816"/>
    <w:rsid w:val="00313EB4"/>
    <w:rsid w:val="00315402"/>
    <w:rsid w:val="00323FB6"/>
    <w:rsid w:val="003242DE"/>
    <w:rsid w:val="003247D5"/>
    <w:rsid w:val="00324CC3"/>
    <w:rsid w:val="00324D10"/>
    <w:rsid w:val="00325535"/>
    <w:rsid w:val="00326621"/>
    <w:rsid w:val="00327696"/>
    <w:rsid w:val="00327D3B"/>
    <w:rsid w:val="00331E08"/>
    <w:rsid w:val="003326AB"/>
    <w:rsid w:val="00333DBA"/>
    <w:rsid w:val="003342FA"/>
    <w:rsid w:val="003358B9"/>
    <w:rsid w:val="003374DA"/>
    <w:rsid w:val="0033764B"/>
    <w:rsid w:val="00337B35"/>
    <w:rsid w:val="00340302"/>
    <w:rsid w:val="00340478"/>
    <w:rsid w:val="00344028"/>
    <w:rsid w:val="003443E2"/>
    <w:rsid w:val="00345C11"/>
    <w:rsid w:val="00346EA0"/>
    <w:rsid w:val="003500A1"/>
    <w:rsid w:val="00350D8C"/>
    <w:rsid w:val="00351692"/>
    <w:rsid w:val="003517D6"/>
    <w:rsid w:val="00351F30"/>
    <w:rsid w:val="00354549"/>
    <w:rsid w:val="00354E1C"/>
    <w:rsid w:val="00355091"/>
    <w:rsid w:val="00356CF6"/>
    <w:rsid w:val="00357C6A"/>
    <w:rsid w:val="00360ECF"/>
    <w:rsid w:val="003623C8"/>
    <w:rsid w:val="00365DDC"/>
    <w:rsid w:val="003664CB"/>
    <w:rsid w:val="00366968"/>
    <w:rsid w:val="00366C07"/>
    <w:rsid w:val="00370622"/>
    <w:rsid w:val="00373549"/>
    <w:rsid w:val="00375ADF"/>
    <w:rsid w:val="00375C4F"/>
    <w:rsid w:val="003760A3"/>
    <w:rsid w:val="00376CC8"/>
    <w:rsid w:val="00380DF1"/>
    <w:rsid w:val="00380F5C"/>
    <w:rsid w:val="00384CA9"/>
    <w:rsid w:val="0038674F"/>
    <w:rsid w:val="00391B41"/>
    <w:rsid w:val="00394CDA"/>
    <w:rsid w:val="003960F1"/>
    <w:rsid w:val="0039719F"/>
    <w:rsid w:val="003971A1"/>
    <w:rsid w:val="003A0B09"/>
    <w:rsid w:val="003A1B7A"/>
    <w:rsid w:val="003A2BE7"/>
    <w:rsid w:val="003A3C00"/>
    <w:rsid w:val="003A502D"/>
    <w:rsid w:val="003A5C1E"/>
    <w:rsid w:val="003A78BF"/>
    <w:rsid w:val="003B0743"/>
    <w:rsid w:val="003B0DB7"/>
    <w:rsid w:val="003B1DE5"/>
    <w:rsid w:val="003B2259"/>
    <w:rsid w:val="003B260B"/>
    <w:rsid w:val="003B31D4"/>
    <w:rsid w:val="003B450D"/>
    <w:rsid w:val="003B591E"/>
    <w:rsid w:val="003C0611"/>
    <w:rsid w:val="003C1803"/>
    <w:rsid w:val="003C2279"/>
    <w:rsid w:val="003C515B"/>
    <w:rsid w:val="003C536E"/>
    <w:rsid w:val="003C5A12"/>
    <w:rsid w:val="003C7C07"/>
    <w:rsid w:val="003C7FAB"/>
    <w:rsid w:val="003D0F8A"/>
    <w:rsid w:val="003D333A"/>
    <w:rsid w:val="003D40F6"/>
    <w:rsid w:val="003D575D"/>
    <w:rsid w:val="003E0253"/>
    <w:rsid w:val="003E06E0"/>
    <w:rsid w:val="003E2771"/>
    <w:rsid w:val="003E326D"/>
    <w:rsid w:val="003E3354"/>
    <w:rsid w:val="003E3ED9"/>
    <w:rsid w:val="003E59AA"/>
    <w:rsid w:val="003E5B8A"/>
    <w:rsid w:val="003F0C3C"/>
    <w:rsid w:val="003F199F"/>
    <w:rsid w:val="003F1F95"/>
    <w:rsid w:val="003F5165"/>
    <w:rsid w:val="003F58E0"/>
    <w:rsid w:val="003F63AD"/>
    <w:rsid w:val="003F7931"/>
    <w:rsid w:val="003F7E40"/>
    <w:rsid w:val="0040047F"/>
    <w:rsid w:val="0040167A"/>
    <w:rsid w:val="004017AD"/>
    <w:rsid w:val="004031AF"/>
    <w:rsid w:val="00405414"/>
    <w:rsid w:val="00406AE0"/>
    <w:rsid w:val="004070AB"/>
    <w:rsid w:val="004071B1"/>
    <w:rsid w:val="00407CAE"/>
    <w:rsid w:val="00410F4E"/>
    <w:rsid w:val="00411098"/>
    <w:rsid w:val="00413F2C"/>
    <w:rsid w:val="00415890"/>
    <w:rsid w:val="00416F42"/>
    <w:rsid w:val="00424942"/>
    <w:rsid w:val="004263EC"/>
    <w:rsid w:val="00426711"/>
    <w:rsid w:val="00426E7E"/>
    <w:rsid w:val="0042770A"/>
    <w:rsid w:val="00430AC0"/>
    <w:rsid w:val="00434656"/>
    <w:rsid w:val="00435971"/>
    <w:rsid w:val="00436985"/>
    <w:rsid w:val="00436C30"/>
    <w:rsid w:val="00437B92"/>
    <w:rsid w:val="00440521"/>
    <w:rsid w:val="00443ACD"/>
    <w:rsid w:val="00443CB3"/>
    <w:rsid w:val="00444BFB"/>
    <w:rsid w:val="00445F95"/>
    <w:rsid w:val="004461EB"/>
    <w:rsid w:val="004479BD"/>
    <w:rsid w:val="00451498"/>
    <w:rsid w:val="004525E4"/>
    <w:rsid w:val="00454729"/>
    <w:rsid w:val="00455310"/>
    <w:rsid w:val="00455852"/>
    <w:rsid w:val="00456213"/>
    <w:rsid w:val="00461EBA"/>
    <w:rsid w:val="00462336"/>
    <w:rsid w:val="00462829"/>
    <w:rsid w:val="0046408D"/>
    <w:rsid w:val="0046735A"/>
    <w:rsid w:val="00471488"/>
    <w:rsid w:val="00475B39"/>
    <w:rsid w:val="00476CF2"/>
    <w:rsid w:val="0048348F"/>
    <w:rsid w:val="004835D5"/>
    <w:rsid w:val="00484EC2"/>
    <w:rsid w:val="00486BFE"/>
    <w:rsid w:val="00486D08"/>
    <w:rsid w:val="00487CDD"/>
    <w:rsid w:val="00492F25"/>
    <w:rsid w:val="00493B04"/>
    <w:rsid w:val="004962EB"/>
    <w:rsid w:val="00497CA1"/>
    <w:rsid w:val="004A0AE2"/>
    <w:rsid w:val="004A1293"/>
    <w:rsid w:val="004A16D6"/>
    <w:rsid w:val="004A3649"/>
    <w:rsid w:val="004A46ED"/>
    <w:rsid w:val="004A6ECB"/>
    <w:rsid w:val="004A7D14"/>
    <w:rsid w:val="004B00A0"/>
    <w:rsid w:val="004B1233"/>
    <w:rsid w:val="004B1257"/>
    <w:rsid w:val="004B1989"/>
    <w:rsid w:val="004B5552"/>
    <w:rsid w:val="004C1A73"/>
    <w:rsid w:val="004C6683"/>
    <w:rsid w:val="004C7912"/>
    <w:rsid w:val="004D178F"/>
    <w:rsid w:val="004D42C8"/>
    <w:rsid w:val="004D582C"/>
    <w:rsid w:val="004D6454"/>
    <w:rsid w:val="004E0C60"/>
    <w:rsid w:val="004E273D"/>
    <w:rsid w:val="004E2C9A"/>
    <w:rsid w:val="004E2D71"/>
    <w:rsid w:val="004E2EF2"/>
    <w:rsid w:val="004E3190"/>
    <w:rsid w:val="004E3326"/>
    <w:rsid w:val="004E5B64"/>
    <w:rsid w:val="004E6D40"/>
    <w:rsid w:val="004E734F"/>
    <w:rsid w:val="004E7765"/>
    <w:rsid w:val="004F0C91"/>
    <w:rsid w:val="004F1C78"/>
    <w:rsid w:val="004F4BF9"/>
    <w:rsid w:val="004F59E6"/>
    <w:rsid w:val="004F5D5A"/>
    <w:rsid w:val="004F656A"/>
    <w:rsid w:val="004F6C86"/>
    <w:rsid w:val="004F75A2"/>
    <w:rsid w:val="0050030F"/>
    <w:rsid w:val="00500801"/>
    <w:rsid w:val="00505876"/>
    <w:rsid w:val="005058CE"/>
    <w:rsid w:val="00507AF4"/>
    <w:rsid w:val="005144EF"/>
    <w:rsid w:val="0051486A"/>
    <w:rsid w:val="00515519"/>
    <w:rsid w:val="00516725"/>
    <w:rsid w:val="00517074"/>
    <w:rsid w:val="005179DE"/>
    <w:rsid w:val="00517C46"/>
    <w:rsid w:val="00517CBD"/>
    <w:rsid w:val="0052092C"/>
    <w:rsid w:val="00521E9E"/>
    <w:rsid w:val="005227CF"/>
    <w:rsid w:val="00524F10"/>
    <w:rsid w:val="0052554F"/>
    <w:rsid w:val="005256F4"/>
    <w:rsid w:val="00526747"/>
    <w:rsid w:val="00533F56"/>
    <w:rsid w:val="0053718D"/>
    <w:rsid w:val="00544BBE"/>
    <w:rsid w:val="00544DF8"/>
    <w:rsid w:val="0054635B"/>
    <w:rsid w:val="00551F03"/>
    <w:rsid w:val="00552CA4"/>
    <w:rsid w:val="00554A5A"/>
    <w:rsid w:val="00555507"/>
    <w:rsid w:val="005576F2"/>
    <w:rsid w:val="00562457"/>
    <w:rsid w:val="00563077"/>
    <w:rsid w:val="0056606A"/>
    <w:rsid w:val="00566167"/>
    <w:rsid w:val="00572917"/>
    <w:rsid w:val="00572EC6"/>
    <w:rsid w:val="0057333C"/>
    <w:rsid w:val="0057390B"/>
    <w:rsid w:val="00574273"/>
    <w:rsid w:val="005752F7"/>
    <w:rsid w:val="00575524"/>
    <w:rsid w:val="005760E9"/>
    <w:rsid w:val="00584354"/>
    <w:rsid w:val="00585FE2"/>
    <w:rsid w:val="00586CC3"/>
    <w:rsid w:val="00587960"/>
    <w:rsid w:val="00592D2F"/>
    <w:rsid w:val="0059332B"/>
    <w:rsid w:val="00597DA7"/>
    <w:rsid w:val="005A1462"/>
    <w:rsid w:val="005A287E"/>
    <w:rsid w:val="005A3F36"/>
    <w:rsid w:val="005A5252"/>
    <w:rsid w:val="005A6B64"/>
    <w:rsid w:val="005A7F83"/>
    <w:rsid w:val="005B0D3E"/>
    <w:rsid w:val="005B1701"/>
    <w:rsid w:val="005B1A10"/>
    <w:rsid w:val="005B2768"/>
    <w:rsid w:val="005B4B94"/>
    <w:rsid w:val="005B6B64"/>
    <w:rsid w:val="005C1348"/>
    <w:rsid w:val="005C15D3"/>
    <w:rsid w:val="005C1A85"/>
    <w:rsid w:val="005C56ED"/>
    <w:rsid w:val="005C599A"/>
    <w:rsid w:val="005D0D30"/>
    <w:rsid w:val="005D15E2"/>
    <w:rsid w:val="005D39EE"/>
    <w:rsid w:val="005D3CE3"/>
    <w:rsid w:val="005D4A57"/>
    <w:rsid w:val="005D58F4"/>
    <w:rsid w:val="005E01F0"/>
    <w:rsid w:val="005E0584"/>
    <w:rsid w:val="005E47BC"/>
    <w:rsid w:val="005E6CCB"/>
    <w:rsid w:val="005E7250"/>
    <w:rsid w:val="005E78DB"/>
    <w:rsid w:val="005F04FD"/>
    <w:rsid w:val="005F1EAC"/>
    <w:rsid w:val="005F5518"/>
    <w:rsid w:val="00600EFD"/>
    <w:rsid w:val="006068F1"/>
    <w:rsid w:val="00607804"/>
    <w:rsid w:val="0061002F"/>
    <w:rsid w:val="006110AF"/>
    <w:rsid w:val="00613992"/>
    <w:rsid w:val="00613E10"/>
    <w:rsid w:val="0061556D"/>
    <w:rsid w:val="006200FF"/>
    <w:rsid w:val="00623E87"/>
    <w:rsid w:val="00624E06"/>
    <w:rsid w:val="0062688D"/>
    <w:rsid w:val="00630E89"/>
    <w:rsid w:val="00631E51"/>
    <w:rsid w:val="0063306F"/>
    <w:rsid w:val="00633A9F"/>
    <w:rsid w:val="00636680"/>
    <w:rsid w:val="00637034"/>
    <w:rsid w:val="0063794C"/>
    <w:rsid w:val="006410E3"/>
    <w:rsid w:val="006460C6"/>
    <w:rsid w:val="00651EAF"/>
    <w:rsid w:val="00653B95"/>
    <w:rsid w:val="00655160"/>
    <w:rsid w:val="00655849"/>
    <w:rsid w:val="00657A56"/>
    <w:rsid w:val="00657B92"/>
    <w:rsid w:val="00660553"/>
    <w:rsid w:val="00661686"/>
    <w:rsid w:val="00664F8F"/>
    <w:rsid w:val="00665A4C"/>
    <w:rsid w:val="00666927"/>
    <w:rsid w:val="006677FF"/>
    <w:rsid w:val="006726A9"/>
    <w:rsid w:val="0067344E"/>
    <w:rsid w:val="006736E9"/>
    <w:rsid w:val="00673ECB"/>
    <w:rsid w:val="006803A2"/>
    <w:rsid w:val="00682BBD"/>
    <w:rsid w:val="0068360A"/>
    <w:rsid w:val="00683C3B"/>
    <w:rsid w:val="006849AE"/>
    <w:rsid w:val="00685A90"/>
    <w:rsid w:val="0068754A"/>
    <w:rsid w:val="00690686"/>
    <w:rsid w:val="006948B4"/>
    <w:rsid w:val="00696B83"/>
    <w:rsid w:val="0069734D"/>
    <w:rsid w:val="006A1034"/>
    <w:rsid w:val="006A1460"/>
    <w:rsid w:val="006A2DDB"/>
    <w:rsid w:val="006A4A9D"/>
    <w:rsid w:val="006A6990"/>
    <w:rsid w:val="006A6B0F"/>
    <w:rsid w:val="006B065A"/>
    <w:rsid w:val="006B1108"/>
    <w:rsid w:val="006B2750"/>
    <w:rsid w:val="006B2943"/>
    <w:rsid w:val="006B54D7"/>
    <w:rsid w:val="006B6129"/>
    <w:rsid w:val="006B703A"/>
    <w:rsid w:val="006B7066"/>
    <w:rsid w:val="006B74E4"/>
    <w:rsid w:val="006B7A42"/>
    <w:rsid w:val="006C013C"/>
    <w:rsid w:val="006C263E"/>
    <w:rsid w:val="006C33F2"/>
    <w:rsid w:val="006C3C48"/>
    <w:rsid w:val="006C6001"/>
    <w:rsid w:val="006C7BA9"/>
    <w:rsid w:val="006D3A22"/>
    <w:rsid w:val="006D3DDB"/>
    <w:rsid w:val="006D4CBD"/>
    <w:rsid w:val="006D633A"/>
    <w:rsid w:val="006D652D"/>
    <w:rsid w:val="006E12EE"/>
    <w:rsid w:val="006E4737"/>
    <w:rsid w:val="006E66C0"/>
    <w:rsid w:val="006F2337"/>
    <w:rsid w:val="006F24D3"/>
    <w:rsid w:val="006F32EA"/>
    <w:rsid w:val="006F4145"/>
    <w:rsid w:val="006F429A"/>
    <w:rsid w:val="00702041"/>
    <w:rsid w:val="00703C54"/>
    <w:rsid w:val="00703EA3"/>
    <w:rsid w:val="00705136"/>
    <w:rsid w:val="00705C06"/>
    <w:rsid w:val="0070694B"/>
    <w:rsid w:val="00706AD8"/>
    <w:rsid w:val="00707773"/>
    <w:rsid w:val="00711DDF"/>
    <w:rsid w:val="007120B7"/>
    <w:rsid w:val="007122F9"/>
    <w:rsid w:val="00714D60"/>
    <w:rsid w:val="00716A91"/>
    <w:rsid w:val="00716BBB"/>
    <w:rsid w:val="00721165"/>
    <w:rsid w:val="00721981"/>
    <w:rsid w:val="00722C08"/>
    <w:rsid w:val="00723396"/>
    <w:rsid w:val="00726046"/>
    <w:rsid w:val="00726209"/>
    <w:rsid w:val="00726763"/>
    <w:rsid w:val="0073145A"/>
    <w:rsid w:val="007319E7"/>
    <w:rsid w:val="007326A0"/>
    <w:rsid w:val="00736405"/>
    <w:rsid w:val="00741317"/>
    <w:rsid w:val="00741F0C"/>
    <w:rsid w:val="00743F82"/>
    <w:rsid w:val="007462CE"/>
    <w:rsid w:val="00746F11"/>
    <w:rsid w:val="00747355"/>
    <w:rsid w:val="00750F04"/>
    <w:rsid w:val="007512A8"/>
    <w:rsid w:val="007540B8"/>
    <w:rsid w:val="00755349"/>
    <w:rsid w:val="00760824"/>
    <w:rsid w:val="00762F53"/>
    <w:rsid w:val="007656DC"/>
    <w:rsid w:val="00765DFD"/>
    <w:rsid w:val="00765EFE"/>
    <w:rsid w:val="00766398"/>
    <w:rsid w:val="00766E25"/>
    <w:rsid w:val="00767449"/>
    <w:rsid w:val="00771DB5"/>
    <w:rsid w:val="007726D3"/>
    <w:rsid w:val="00772B4A"/>
    <w:rsid w:val="00774F28"/>
    <w:rsid w:val="00775A24"/>
    <w:rsid w:val="00777E9C"/>
    <w:rsid w:val="00781585"/>
    <w:rsid w:val="00784FEF"/>
    <w:rsid w:val="007859D8"/>
    <w:rsid w:val="007859F5"/>
    <w:rsid w:val="00785CE5"/>
    <w:rsid w:val="00787CF9"/>
    <w:rsid w:val="00790613"/>
    <w:rsid w:val="00792706"/>
    <w:rsid w:val="00794980"/>
    <w:rsid w:val="007955E0"/>
    <w:rsid w:val="00795C04"/>
    <w:rsid w:val="00795EC5"/>
    <w:rsid w:val="007A146D"/>
    <w:rsid w:val="007A1C86"/>
    <w:rsid w:val="007A2EFD"/>
    <w:rsid w:val="007A2FA6"/>
    <w:rsid w:val="007A403E"/>
    <w:rsid w:val="007A4108"/>
    <w:rsid w:val="007A538C"/>
    <w:rsid w:val="007B0046"/>
    <w:rsid w:val="007B096E"/>
    <w:rsid w:val="007B151D"/>
    <w:rsid w:val="007B1A13"/>
    <w:rsid w:val="007B403E"/>
    <w:rsid w:val="007B6E1A"/>
    <w:rsid w:val="007C2921"/>
    <w:rsid w:val="007C298D"/>
    <w:rsid w:val="007C2D47"/>
    <w:rsid w:val="007C51A9"/>
    <w:rsid w:val="007D1715"/>
    <w:rsid w:val="007D1D05"/>
    <w:rsid w:val="007D5359"/>
    <w:rsid w:val="007D5788"/>
    <w:rsid w:val="007D5EAF"/>
    <w:rsid w:val="007E04AF"/>
    <w:rsid w:val="007E26A2"/>
    <w:rsid w:val="007E2A59"/>
    <w:rsid w:val="007E2E6E"/>
    <w:rsid w:val="007E47DF"/>
    <w:rsid w:val="007E55DE"/>
    <w:rsid w:val="007E6CF0"/>
    <w:rsid w:val="007F40D3"/>
    <w:rsid w:val="007F4F83"/>
    <w:rsid w:val="007F5B58"/>
    <w:rsid w:val="007F6224"/>
    <w:rsid w:val="0080053D"/>
    <w:rsid w:val="0080601F"/>
    <w:rsid w:val="00806C07"/>
    <w:rsid w:val="00806FFE"/>
    <w:rsid w:val="008076A0"/>
    <w:rsid w:val="00807B73"/>
    <w:rsid w:val="008115DF"/>
    <w:rsid w:val="008118AF"/>
    <w:rsid w:val="00811ADF"/>
    <w:rsid w:val="00816028"/>
    <w:rsid w:val="008172BB"/>
    <w:rsid w:val="00817FAA"/>
    <w:rsid w:val="008202B9"/>
    <w:rsid w:val="00820993"/>
    <w:rsid w:val="0082130D"/>
    <w:rsid w:val="00821620"/>
    <w:rsid w:val="008225F6"/>
    <w:rsid w:val="0082292D"/>
    <w:rsid w:val="008251B7"/>
    <w:rsid w:val="008274D7"/>
    <w:rsid w:val="0082774F"/>
    <w:rsid w:val="0083183A"/>
    <w:rsid w:val="00831B21"/>
    <w:rsid w:val="008351E9"/>
    <w:rsid w:val="00835BE5"/>
    <w:rsid w:val="00836436"/>
    <w:rsid w:val="008401CD"/>
    <w:rsid w:val="00841A35"/>
    <w:rsid w:val="00842B91"/>
    <w:rsid w:val="00843D97"/>
    <w:rsid w:val="008455DA"/>
    <w:rsid w:val="00845E26"/>
    <w:rsid w:val="00846A91"/>
    <w:rsid w:val="00847961"/>
    <w:rsid w:val="00850B09"/>
    <w:rsid w:val="00851385"/>
    <w:rsid w:val="008519D8"/>
    <w:rsid w:val="00854B53"/>
    <w:rsid w:val="00856D59"/>
    <w:rsid w:val="00856EE3"/>
    <w:rsid w:val="0085709B"/>
    <w:rsid w:val="00860D65"/>
    <w:rsid w:val="0086680A"/>
    <w:rsid w:val="00870A57"/>
    <w:rsid w:val="00870D25"/>
    <w:rsid w:val="00872843"/>
    <w:rsid w:val="00873E1A"/>
    <w:rsid w:val="00875122"/>
    <w:rsid w:val="00876438"/>
    <w:rsid w:val="00881296"/>
    <w:rsid w:val="00882064"/>
    <w:rsid w:val="00882089"/>
    <w:rsid w:val="0088494A"/>
    <w:rsid w:val="00884B9B"/>
    <w:rsid w:val="008864BA"/>
    <w:rsid w:val="008873B8"/>
    <w:rsid w:val="0088782F"/>
    <w:rsid w:val="00890152"/>
    <w:rsid w:val="008916B7"/>
    <w:rsid w:val="00892E8A"/>
    <w:rsid w:val="008930D5"/>
    <w:rsid w:val="008953D4"/>
    <w:rsid w:val="00896D33"/>
    <w:rsid w:val="008977D4"/>
    <w:rsid w:val="008A17FF"/>
    <w:rsid w:val="008A1B6F"/>
    <w:rsid w:val="008A1BE0"/>
    <w:rsid w:val="008A5AB4"/>
    <w:rsid w:val="008A645A"/>
    <w:rsid w:val="008A6619"/>
    <w:rsid w:val="008A7AD3"/>
    <w:rsid w:val="008A7C60"/>
    <w:rsid w:val="008B01A1"/>
    <w:rsid w:val="008B0AD0"/>
    <w:rsid w:val="008B2BED"/>
    <w:rsid w:val="008B3AA6"/>
    <w:rsid w:val="008B463B"/>
    <w:rsid w:val="008B473C"/>
    <w:rsid w:val="008B5DAF"/>
    <w:rsid w:val="008C0CEA"/>
    <w:rsid w:val="008C3131"/>
    <w:rsid w:val="008C50C6"/>
    <w:rsid w:val="008C526C"/>
    <w:rsid w:val="008C542C"/>
    <w:rsid w:val="008C5A47"/>
    <w:rsid w:val="008C61C6"/>
    <w:rsid w:val="008D09FF"/>
    <w:rsid w:val="008D2C2B"/>
    <w:rsid w:val="008E0EB2"/>
    <w:rsid w:val="008E2B1A"/>
    <w:rsid w:val="008E7863"/>
    <w:rsid w:val="008F1A8A"/>
    <w:rsid w:val="008F6221"/>
    <w:rsid w:val="008F7ECA"/>
    <w:rsid w:val="00903DA4"/>
    <w:rsid w:val="009044B6"/>
    <w:rsid w:val="009062F4"/>
    <w:rsid w:val="009070C7"/>
    <w:rsid w:val="00910EC0"/>
    <w:rsid w:val="00911133"/>
    <w:rsid w:val="009123CF"/>
    <w:rsid w:val="0091240F"/>
    <w:rsid w:val="00912619"/>
    <w:rsid w:val="00912928"/>
    <w:rsid w:val="0091313A"/>
    <w:rsid w:val="00916065"/>
    <w:rsid w:val="00916795"/>
    <w:rsid w:val="00916986"/>
    <w:rsid w:val="00917286"/>
    <w:rsid w:val="0091798C"/>
    <w:rsid w:val="00921251"/>
    <w:rsid w:val="00921C1A"/>
    <w:rsid w:val="00925508"/>
    <w:rsid w:val="00932658"/>
    <w:rsid w:val="00933BED"/>
    <w:rsid w:val="00935DA4"/>
    <w:rsid w:val="00936537"/>
    <w:rsid w:val="00936C0B"/>
    <w:rsid w:val="00937D53"/>
    <w:rsid w:val="00940060"/>
    <w:rsid w:val="009442E7"/>
    <w:rsid w:val="00944ABE"/>
    <w:rsid w:val="00945A85"/>
    <w:rsid w:val="0095153B"/>
    <w:rsid w:val="009522FF"/>
    <w:rsid w:val="00952E6F"/>
    <w:rsid w:val="00956503"/>
    <w:rsid w:val="0096175B"/>
    <w:rsid w:val="00962F11"/>
    <w:rsid w:val="00965C85"/>
    <w:rsid w:val="0096795A"/>
    <w:rsid w:val="0097056B"/>
    <w:rsid w:val="0097107B"/>
    <w:rsid w:val="00974DF8"/>
    <w:rsid w:val="00976EA2"/>
    <w:rsid w:val="00985956"/>
    <w:rsid w:val="00985D9E"/>
    <w:rsid w:val="0098673C"/>
    <w:rsid w:val="00986AA6"/>
    <w:rsid w:val="00992F32"/>
    <w:rsid w:val="00994816"/>
    <w:rsid w:val="009A48A7"/>
    <w:rsid w:val="009A52B8"/>
    <w:rsid w:val="009A7DF5"/>
    <w:rsid w:val="009A7F63"/>
    <w:rsid w:val="009B293E"/>
    <w:rsid w:val="009B3AC8"/>
    <w:rsid w:val="009B452D"/>
    <w:rsid w:val="009B5572"/>
    <w:rsid w:val="009C14FA"/>
    <w:rsid w:val="009C1C20"/>
    <w:rsid w:val="009D3FB9"/>
    <w:rsid w:val="009D50F4"/>
    <w:rsid w:val="009D6013"/>
    <w:rsid w:val="009E1F22"/>
    <w:rsid w:val="009E20CC"/>
    <w:rsid w:val="009E28E6"/>
    <w:rsid w:val="009E4500"/>
    <w:rsid w:val="009E4DB2"/>
    <w:rsid w:val="009E5B5B"/>
    <w:rsid w:val="009F1329"/>
    <w:rsid w:val="009F1348"/>
    <w:rsid w:val="009F139A"/>
    <w:rsid w:val="009F19EB"/>
    <w:rsid w:val="009F29AD"/>
    <w:rsid w:val="009F2ED1"/>
    <w:rsid w:val="009F42FD"/>
    <w:rsid w:val="009F4325"/>
    <w:rsid w:val="009F54D2"/>
    <w:rsid w:val="009F632A"/>
    <w:rsid w:val="009F6960"/>
    <w:rsid w:val="009F6CAE"/>
    <w:rsid w:val="00A02371"/>
    <w:rsid w:val="00A02D1F"/>
    <w:rsid w:val="00A02F5E"/>
    <w:rsid w:val="00A058A6"/>
    <w:rsid w:val="00A06076"/>
    <w:rsid w:val="00A10058"/>
    <w:rsid w:val="00A105FD"/>
    <w:rsid w:val="00A159D1"/>
    <w:rsid w:val="00A168D2"/>
    <w:rsid w:val="00A23692"/>
    <w:rsid w:val="00A23A9F"/>
    <w:rsid w:val="00A24831"/>
    <w:rsid w:val="00A265BC"/>
    <w:rsid w:val="00A26836"/>
    <w:rsid w:val="00A30DCF"/>
    <w:rsid w:val="00A310CF"/>
    <w:rsid w:val="00A327BE"/>
    <w:rsid w:val="00A345C7"/>
    <w:rsid w:val="00A35852"/>
    <w:rsid w:val="00A368A7"/>
    <w:rsid w:val="00A36F88"/>
    <w:rsid w:val="00A401DC"/>
    <w:rsid w:val="00A4107F"/>
    <w:rsid w:val="00A464C4"/>
    <w:rsid w:val="00A47BA3"/>
    <w:rsid w:val="00A501C9"/>
    <w:rsid w:val="00A547A0"/>
    <w:rsid w:val="00A54DC7"/>
    <w:rsid w:val="00A55C61"/>
    <w:rsid w:val="00A573C1"/>
    <w:rsid w:val="00A67C0D"/>
    <w:rsid w:val="00A714E9"/>
    <w:rsid w:val="00A734EA"/>
    <w:rsid w:val="00A74A98"/>
    <w:rsid w:val="00A75E50"/>
    <w:rsid w:val="00A75F2F"/>
    <w:rsid w:val="00A77233"/>
    <w:rsid w:val="00A77466"/>
    <w:rsid w:val="00A7771F"/>
    <w:rsid w:val="00A80213"/>
    <w:rsid w:val="00A80696"/>
    <w:rsid w:val="00A80DD5"/>
    <w:rsid w:val="00A81371"/>
    <w:rsid w:val="00A83C53"/>
    <w:rsid w:val="00A8793C"/>
    <w:rsid w:val="00A90634"/>
    <w:rsid w:val="00A908C5"/>
    <w:rsid w:val="00A91000"/>
    <w:rsid w:val="00A911AE"/>
    <w:rsid w:val="00A91863"/>
    <w:rsid w:val="00A91D86"/>
    <w:rsid w:val="00A9376F"/>
    <w:rsid w:val="00A93908"/>
    <w:rsid w:val="00A93C3F"/>
    <w:rsid w:val="00A959DE"/>
    <w:rsid w:val="00A96188"/>
    <w:rsid w:val="00A97F21"/>
    <w:rsid w:val="00AA137A"/>
    <w:rsid w:val="00AA3960"/>
    <w:rsid w:val="00AA3C7E"/>
    <w:rsid w:val="00AA43B7"/>
    <w:rsid w:val="00AA4993"/>
    <w:rsid w:val="00AA4BAF"/>
    <w:rsid w:val="00AA7971"/>
    <w:rsid w:val="00AA7F1F"/>
    <w:rsid w:val="00AB0C16"/>
    <w:rsid w:val="00AB133B"/>
    <w:rsid w:val="00AB1B53"/>
    <w:rsid w:val="00AB1B79"/>
    <w:rsid w:val="00AB1FAE"/>
    <w:rsid w:val="00AB29F5"/>
    <w:rsid w:val="00AB3452"/>
    <w:rsid w:val="00AB6717"/>
    <w:rsid w:val="00AB75E3"/>
    <w:rsid w:val="00AC0B03"/>
    <w:rsid w:val="00AC1886"/>
    <w:rsid w:val="00AC1B63"/>
    <w:rsid w:val="00AC2697"/>
    <w:rsid w:val="00AC337D"/>
    <w:rsid w:val="00AC3D2A"/>
    <w:rsid w:val="00AC5092"/>
    <w:rsid w:val="00AC651C"/>
    <w:rsid w:val="00AC7125"/>
    <w:rsid w:val="00AD0284"/>
    <w:rsid w:val="00AD05C9"/>
    <w:rsid w:val="00AD0EF4"/>
    <w:rsid w:val="00AD18D4"/>
    <w:rsid w:val="00AD1BFB"/>
    <w:rsid w:val="00AD340A"/>
    <w:rsid w:val="00AD4DB6"/>
    <w:rsid w:val="00AE22C7"/>
    <w:rsid w:val="00AE3276"/>
    <w:rsid w:val="00AE4BAD"/>
    <w:rsid w:val="00AF28AC"/>
    <w:rsid w:val="00AF2999"/>
    <w:rsid w:val="00AF33F7"/>
    <w:rsid w:val="00AF566B"/>
    <w:rsid w:val="00AF7B9B"/>
    <w:rsid w:val="00B01349"/>
    <w:rsid w:val="00B01470"/>
    <w:rsid w:val="00B02634"/>
    <w:rsid w:val="00B060F4"/>
    <w:rsid w:val="00B067CC"/>
    <w:rsid w:val="00B1072A"/>
    <w:rsid w:val="00B1102C"/>
    <w:rsid w:val="00B118D9"/>
    <w:rsid w:val="00B12A43"/>
    <w:rsid w:val="00B13023"/>
    <w:rsid w:val="00B15A4B"/>
    <w:rsid w:val="00B17635"/>
    <w:rsid w:val="00B24684"/>
    <w:rsid w:val="00B2535D"/>
    <w:rsid w:val="00B253FB"/>
    <w:rsid w:val="00B258E6"/>
    <w:rsid w:val="00B27630"/>
    <w:rsid w:val="00B27F9F"/>
    <w:rsid w:val="00B303B4"/>
    <w:rsid w:val="00B31403"/>
    <w:rsid w:val="00B316CD"/>
    <w:rsid w:val="00B32DB6"/>
    <w:rsid w:val="00B4056C"/>
    <w:rsid w:val="00B4062E"/>
    <w:rsid w:val="00B43692"/>
    <w:rsid w:val="00B43F8B"/>
    <w:rsid w:val="00B4413B"/>
    <w:rsid w:val="00B44839"/>
    <w:rsid w:val="00B465F9"/>
    <w:rsid w:val="00B505B7"/>
    <w:rsid w:val="00B51608"/>
    <w:rsid w:val="00B5318B"/>
    <w:rsid w:val="00B5359E"/>
    <w:rsid w:val="00B54CAA"/>
    <w:rsid w:val="00B55941"/>
    <w:rsid w:val="00B55C98"/>
    <w:rsid w:val="00B62280"/>
    <w:rsid w:val="00B62546"/>
    <w:rsid w:val="00B637FD"/>
    <w:rsid w:val="00B6448C"/>
    <w:rsid w:val="00B64E68"/>
    <w:rsid w:val="00B65A1F"/>
    <w:rsid w:val="00B66B7B"/>
    <w:rsid w:val="00B67F68"/>
    <w:rsid w:val="00B722DC"/>
    <w:rsid w:val="00B7383E"/>
    <w:rsid w:val="00B747F9"/>
    <w:rsid w:val="00B7527D"/>
    <w:rsid w:val="00B81688"/>
    <w:rsid w:val="00B83DD3"/>
    <w:rsid w:val="00B8464B"/>
    <w:rsid w:val="00B84C9C"/>
    <w:rsid w:val="00B858F6"/>
    <w:rsid w:val="00B87811"/>
    <w:rsid w:val="00B87855"/>
    <w:rsid w:val="00B90A67"/>
    <w:rsid w:val="00B9136A"/>
    <w:rsid w:val="00B923BD"/>
    <w:rsid w:val="00B92CD9"/>
    <w:rsid w:val="00B941DE"/>
    <w:rsid w:val="00B9420B"/>
    <w:rsid w:val="00B97DB5"/>
    <w:rsid w:val="00BA0324"/>
    <w:rsid w:val="00BA0374"/>
    <w:rsid w:val="00BA157D"/>
    <w:rsid w:val="00BA1D4B"/>
    <w:rsid w:val="00BA3A19"/>
    <w:rsid w:val="00BA3AB8"/>
    <w:rsid w:val="00BA7631"/>
    <w:rsid w:val="00BB04A3"/>
    <w:rsid w:val="00BB14C9"/>
    <w:rsid w:val="00BB23D0"/>
    <w:rsid w:val="00BB2C10"/>
    <w:rsid w:val="00BB332C"/>
    <w:rsid w:val="00BB361C"/>
    <w:rsid w:val="00BB72AD"/>
    <w:rsid w:val="00BC0429"/>
    <w:rsid w:val="00BC0D45"/>
    <w:rsid w:val="00BC0FA2"/>
    <w:rsid w:val="00BC2C76"/>
    <w:rsid w:val="00BC79AB"/>
    <w:rsid w:val="00BC7A09"/>
    <w:rsid w:val="00BD0294"/>
    <w:rsid w:val="00BD0DEA"/>
    <w:rsid w:val="00BD13ED"/>
    <w:rsid w:val="00BD1462"/>
    <w:rsid w:val="00BD215C"/>
    <w:rsid w:val="00BD2461"/>
    <w:rsid w:val="00BD2D19"/>
    <w:rsid w:val="00BD3988"/>
    <w:rsid w:val="00BD5529"/>
    <w:rsid w:val="00BD6367"/>
    <w:rsid w:val="00BD6B24"/>
    <w:rsid w:val="00BE04A8"/>
    <w:rsid w:val="00BE1064"/>
    <w:rsid w:val="00BE4012"/>
    <w:rsid w:val="00BE5C90"/>
    <w:rsid w:val="00BE67B4"/>
    <w:rsid w:val="00BE7C4E"/>
    <w:rsid w:val="00BF23AD"/>
    <w:rsid w:val="00BF3970"/>
    <w:rsid w:val="00BF5759"/>
    <w:rsid w:val="00BF7511"/>
    <w:rsid w:val="00C00434"/>
    <w:rsid w:val="00C00D17"/>
    <w:rsid w:val="00C01218"/>
    <w:rsid w:val="00C053EF"/>
    <w:rsid w:val="00C063A9"/>
    <w:rsid w:val="00C06F9D"/>
    <w:rsid w:val="00C106B8"/>
    <w:rsid w:val="00C13FB2"/>
    <w:rsid w:val="00C16578"/>
    <w:rsid w:val="00C1740A"/>
    <w:rsid w:val="00C204F0"/>
    <w:rsid w:val="00C232E8"/>
    <w:rsid w:val="00C23A87"/>
    <w:rsid w:val="00C25F40"/>
    <w:rsid w:val="00C30A3F"/>
    <w:rsid w:val="00C30D9C"/>
    <w:rsid w:val="00C31292"/>
    <w:rsid w:val="00C33853"/>
    <w:rsid w:val="00C33B7B"/>
    <w:rsid w:val="00C35A86"/>
    <w:rsid w:val="00C35BC5"/>
    <w:rsid w:val="00C41922"/>
    <w:rsid w:val="00C44F09"/>
    <w:rsid w:val="00C44FC8"/>
    <w:rsid w:val="00C476C0"/>
    <w:rsid w:val="00C477E8"/>
    <w:rsid w:val="00C500FC"/>
    <w:rsid w:val="00C5256E"/>
    <w:rsid w:val="00C537FF"/>
    <w:rsid w:val="00C546E2"/>
    <w:rsid w:val="00C55C7C"/>
    <w:rsid w:val="00C5736E"/>
    <w:rsid w:val="00C57B82"/>
    <w:rsid w:val="00C60D3A"/>
    <w:rsid w:val="00C6197C"/>
    <w:rsid w:val="00C62346"/>
    <w:rsid w:val="00C627C1"/>
    <w:rsid w:val="00C640ED"/>
    <w:rsid w:val="00C66ABF"/>
    <w:rsid w:val="00C71045"/>
    <w:rsid w:val="00C71BBB"/>
    <w:rsid w:val="00C735BF"/>
    <w:rsid w:val="00C73938"/>
    <w:rsid w:val="00C73C30"/>
    <w:rsid w:val="00C76AC0"/>
    <w:rsid w:val="00C8093C"/>
    <w:rsid w:val="00C81D35"/>
    <w:rsid w:val="00C856D0"/>
    <w:rsid w:val="00C9019C"/>
    <w:rsid w:val="00C9204D"/>
    <w:rsid w:val="00C922ED"/>
    <w:rsid w:val="00C923CF"/>
    <w:rsid w:val="00C9537B"/>
    <w:rsid w:val="00C96031"/>
    <w:rsid w:val="00C9603E"/>
    <w:rsid w:val="00C970F2"/>
    <w:rsid w:val="00CA0D39"/>
    <w:rsid w:val="00CA14EF"/>
    <w:rsid w:val="00CA3DE4"/>
    <w:rsid w:val="00CA43F2"/>
    <w:rsid w:val="00CA76B3"/>
    <w:rsid w:val="00CA7A4A"/>
    <w:rsid w:val="00CB1713"/>
    <w:rsid w:val="00CB1DF7"/>
    <w:rsid w:val="00CB6293"/>
    <w:rsid w:val="00CB79D2"/>
    <w:rsid w:val="00CC0098"/>
    <w:rsid w:val="00CC0549"/>
    <w:rsid w:val="00CC0BBD"/>
    <w:rsid w:val="00CC2081"/>
    <w:rsid w:val="00CC2562"/>
    <w:rsid w:val="00CC3E00"/>
    <w:rsid w:val="00CC4A8A"/>
    <w:rsid w:val="00CC6660"/>
    <w:rsid w:val="00CD088E"/>
    <w:rsid w:val="00CD1696"/>
    <w:rsid w:val="00CD244E"/>
    <w:rsid w:val="00CD32E8"/>
    <w:rsid w:val="00CD34D2"/>
    <w:rsid w:val="00CD3BEE"/>
    <w:rsid w:val="00CD658A"/>
    <w:rsid w:val="00CD6681"/>
    <w:rsid w:val="00CD6BF5"/>
    <w:rsid w:val="00CD6E16"/>
    <w:rsid w:val="00CE1BD3"/>
    <w:rsid w:val="00CE23EE"/>
    <w:rsid w:val="00CE33A5"/>
    <w:rsid w:val="00CE3467"/>
    <w:rsid w:val="00CE6B9E"/>
    <w:rsid w:val="00CE7804"/>
    <w:rsid w:val="00CE7FFE"/>
    <w:rsid w:val="00CF0C3F"/>
    <w:rsid w:val="00CF1A1A"/>
    <w:rsid w:val="00CF25EF"/>
    <w:rsid w:val="00CF2FD5"/>
    <w:rsid w:val="00CF4D2A"/>
    <w:rsid w:val="00CF4E55"/>
    <w:rsid w:val="00CF6AB9"/>
    <w:rsid w:val="00CF7EAC"/>
    <w:rsid w:val="00D009C0"/>
    <w:rsid w:val="00D0173F"/>
    <w:rsid w:val="00D029E1"/>
    <w:rsid w:val="00D02C47"/>
    <w:rsid w:val="00D038E7"/>
    <w:rsid w:val="00D0508C"/>
    <w:rsid w:val="00D05200"/>
    <w:rsid w:val="00D05DAC"/>
    <w:rsid w:val="00D07855"/>
    <w:rsid w:val="00D107D8"/>
    <w:rsid w:val="00D10FA3"/>
    <w:rsid w:val="00D1225D"/>
    <w:rsid w:val="00D12F77"/>
    <w:rsid w:val="00D150C1"/>
    <w:rsid w:val="00D211E1"/>
    <w:rsid w:val="00D23B69"/>
    <w:rsid w:val="00D255A1"/>
    <w:rsid w:val="00D2676D"/>
    <w:rsid w:val="00D273A4"/>
    <w:rsid w:val="00D31290"/>
    <w:rsid w:val="00D316B8"/>
    <w:rsid w:val="00D335AC"/>
    <w:rsid w:val="00D335D3"/>
    <w:rsid w:val="00D33A1A"/>
    <w:rsid w:val="00D35F38"/>
    <w:rsid w:val="00D40705"/>
    <w:rsid w:val="00D41ECF"/>
    <w:rsid w:val="00D47663"/>
    <w:rsid w:val="00D5093C"/>
    <w:rsid w:val="00D50A09"/>
    <w:rsid w:val="00D50CD7"/>
    <w:rsid w:val="00D5335C"/>
    <w:rsid w:val="00D542EA"/>
    <w:rsid w:val="00D57F34"/>
    <w:rsid w:val="00D60961"/>
    <w:rsid w:val="00D62C62"/>
    <w:rsid w:val="00D63997"/>
    <w:rsid w:val="00D645A8"/>
    <w:rsid w:val="00D6543C"/>
    <w:rsid w:val="00D654F8"/>
    <w:rsid w:val="00D67FF5"/>
    <w:rsid w:val="00D71B94"/>
    <w:rsid w:val="00D74DD8"/>
    <w:rsid w:val="00D74F67"/>
    <w:rsid w:val="00D758B5"/>
    <w:rsid w:val="00D761E2"/>
    <w:rsid w:val="00D821D0"/>
    <w:rsid w:val="00D8610A"/>
    <w:rsid w:val="00D91438"/>
    <w:rsid w:val="00D932C6"/>
    <w:rsid w:val="00D933C2"/>
    <w:rsid w:val="00D93A13"/>
    <w:rsid w:val="00D94133"/>
    <w:rsid w:val="00D963AE"/>
    <w:rsid w:val="00D96B02"/>
    <w:rsid w:val="00DA0905"/>
    <w:rsid w:val="00DA73C8"/>
    <w:rsid w:val="00DB1A21"/>
    <w:rsid w:val="00DB5531"/>
    <w:rsid w:val="00DB63A7"/>
    <w:rsid w:val="00DC3007"/>
    <w:rsid w:val="00DC6AE8"/>
    <w:rsid w:val="00DD1054"/>
    <w:rsid w:val="00DD15D1"/>
    <w:rsid w:val="00DD18A0"/>
    <w:rsid w:val="00DD1A0E"/>
    <w:rsid w:val="00DD555B"/>
    <w:rsid w:val="00DD5727"/>
    <w:rsid w:val="00DD67BC"/>
    <w:rsid w:val="00DE155E"/>
    <w:rsid w:val="00DE55BA"/>
    <w:rsid w:val="00DE772D"/>
    <w:rsid w:val="00DE7845"/>
    <w:rsid w:val="00DE7E51"/>
    <w:rsid w:val="00DF23B6"/>
    <w:rsid w:val="00DF4813"/>
    <w:rsid w:val="00DF68FA"/>
    <w:rsid w:val="00DF692C"/>
    <w:rsid w:val="00DF7F3D"/>
    <w:rsid w:val="00E04680"/>
    <w:rsid w:val="00E065BC"/>
    <w:rsid w:val="00E07DE1"/>
    <w:rsid w:val="00E10211"/>
    <w:rsid w:val="00E1021E"/>
    <w:rsid w:val="00E17373"/>
    <w:rsid w:val="00E22E2A"/>
    <w:rsid w:val="00E237DD"/>
    <w:rsid w:val="00E24DCE"/>
    <w:rsid w:val="00E2561B"/>
    <w:rsid w:val="00E259D1"/>
    <w:rsid w:val="00E27EE5"/>
    <w:rsid w:val="00E30657"/>
    <w:rsid w:val="00E3091D"/>
    <w:rsid w:val="00E350B8"/>
    <w:rsid w:val="00E35870"/>
    <w:rsid w:val="00E36E50"/>
    <w:rsid w:val="00E37006"/>
    <w:rsid w:val="00E37BDB"/>
    <w:rsid w:val="00E418F1"/>
    <w:rsid w:val="00E41E8F"/>
    <w:rsid w:val="00E42E0A"/>
    <w:rsid w:val="00E43C68"/>
    <w:rsid w:val="00E448A2"/>
    <w:rsid w:val="00E44CF4"/>
    <w:rsid w:val="00E5034D"/>
    <w:rsid w:val="00E50AA8"/>
    <w:rsid w:val="00E512BA"/>
    <w:rsid w:val="00E51FAA"/>
    <w:rsid w:val="00E526F1"/>
    <w:rsid w:val="00E53AF7"/>
    <w:rsid w:val="00E54053"/>
    <w:rsid w:val="00E552DD"/>
    <w:rsid w:val="00E56890"/>
    <w:rsid w:val="00E57569"/>
    <w:rsid w:val="00E63622"/>
    <w:rsid w:val="00E6372D"/>
    <w:rsid w:val="00E64BA5"/>
    <w:rsid w:val="00E668F0"/>
    <w:rsid w:val="00E6771F"/>
    <w:rsid w:val="00E7079B"/>
    <w:rsid w:val="00E71929"/>
    <w:rsid w:val="00E71C30"/>
    <w:rsid w:val="00E71C90"/>
    <w:rsid w:val="00E73002"/>
    <w:rsid w:val="00E731B9"/>
    <w:rsid w:val="00E73D82"/>
    <w:rsid w:val="00E742FF"/>
    <w:rsid w:val="00E75DA0"/>
    <w:rsid w:val="00E80B24"/>
    <w:rsid w:val="00E80D09"/>
    <w:rsid w:val="00E826BE"/>
    <w:rsid w:val="00E8318A"/>
    <w:rsid w:val="00E835E6"/>
    <w:rsid w:val="00E83A7F"/>
    <w:rsid w:val="00E87BBD"/>
    <w:rsid w:val="00E90091"/>
    <w:rsid w:val="00E9176B"/>
    <w:rsid w:val="00E97DF5"/>
    <w:rsid w:val="00EA1155"/>
    <w:rsid w:val="00EA136C"/>
    <w:rsid w:val="00EA1651"/>
    <w:rsid w:val="00EA245B"/>
    <w:rsid w:val="00EA378A"/>
    <w:rsid w:val="00EA74C2"/>
    <w:rsid w:val="00EB060F"/>
    <w:rsid w:val="00EB189A"/>
    <w:rsid w:val="00EB227D"/>
    <w:rsid w:val="00EB2665"/>
    <w:rsid w:val="00EB33E6"/>
    <w:rsid w:val="00EB3E67"/>
    <w:rsid w:val="00EB44CF"/>
    <w:rsid w:val="00EB46D2"/>
    <w:rsid w:val="00EB6CB9"/>
    <w:rsid w:val="00EC0766"/>
    <w:rsid w:val="00EC0E9A"/>
    <w:rsid w:val="00EC10A9"/>
    <w:rsid w:val="00EC24CC"/>
    <w:rsid w:val="00EC272B"/>
    <w:rsid w:val="00EC3261"/>
    <w:rsid w:val="00EC5EFB"/>
    <w:rsid w:val="00ED2889"/>
    <w:rsid w:val="00ED636D"/>
    <w:rsid w:val="00ED668A"/>
    <w:rsid w:val="00EE2B0F"/>
    <w:rsid w:val="00EE5307"/>
    <w:rsid w:val="00EE5F3E"/>
    <w:rsid w:val="00EE7D17"/>
    <w:rsid w:val="00EF3481"/>
    <w:rsid w:val="00EF4694"/>
    <w:rsid w:val="00EF4B02"/>
    <w:rsid w:val="00EF6A9C"/>
    <w:rsid w:val="00F00524"/>
    <w:rsid w:val="00F007D8"/>
    <w:rsid w:val="00F03661"/>
    <w:rsid w:val="00F10BBF"/>
    <w:rsid w:val="00F117C5"/>
    <w:rsid w:val="00F128C9"/>
    <w:rsid w:val="00F13BDE"/>
    <w:rsid w:val="00F14E77"/>
    <w:rsid w:val="00F1689E"/>
    <w:rsid w:val="00F16F93"/>
    <w:rsid w:val="00F21DC5"/>
    <w:rsid w:val="00F245F2"/>
    <w:rsid w:val="00F26546"/>
    <w:rsid w:val="00F26A57"/>
    <w:rsid w:val="00F275DA"/>
    <w:rsid w:val="00F27A5C"/>
    <w:rsid w:val="00F311E8"/>
    <w:rsid w:val="00F328B0"/>
    <w:rsid w:val="00F354FC"/>
    <w:rsid w:val="00F35FD9"/>
    <w:rsid w:val="00F40949"/>
    <w:rsid w:val="00F42CCF"/>
    <w:rsid w:val="00F42D56"/>
    <w:rsid w:val="00F42F7D"/>
    <w:rsid w:val="00F44208"/>
    <w:rsid w:val="00F44621"/>
    <w:rsid w:val="00F47C6E"/>
    <w:rsid w:val="00F525E3"/>
    <w:rsid w:val="00F52757"/>
    <w:rsid w:val="00F53CA2"/>
    <w:rsid w:val="00F548AE"/>
    <w:rsid w:val="00F549BB"/>
    <w:rsid w:val="00F57848"/>
    <w:rsid w:val="00F602D2"/>
    <w:rsid w:val="00F61025"/>
    <w:rsid w:val="00F62666"/>
    <w:rsid w:val="00F64412"/>
    <w:rsid w:val="00F65259"/>
    <w:rsid w:val="00F6526B"/>
    <w:rsid w:val="00F66E79"/>
    <w:rsid w:val="00F67113"/>
    <w:rsid w:val="00F70A52"/>
    <w:rsid w:val="00F71E9A"/>
    <w:rsid w:val="00F722E3"/>
    <w:rsid w:val="00F728B0"/>
    <w:rsid w:val="00F72E48"/>
    <w:rsid w:val="00F73503"/>
    <w:rsid w:val="00F7379B"/>
    <w:rsid w:val="00F74066"/>
    <w:rsid w:val="00F75FE7"/>
    <w:rsid w:val="00F80B6D"/>
    <w:rsid w:val="00F83635"/>
    <w:rsid w:val="00F84993"/>
    <w:rsid w:val="00F90D46"/>
    <w:rsid w:val="00F91014"/>
    <w:rsid w:val="00F932DE"/>
    <w:rsid w:val="00F93C95"/>
    <w:rsid w:val="00F94465"/>
    <w:rsid w:val="00F94F5E"/>
    <w:rsid w:val="00F94F78"/>
    <w:rsid w:val="00F9507F"/>
    <w:rsid w:val="00F95688"/>
    <w:rsid w:val="00F9689A"/>
    <w:rsid w:val="00FA09FB"/>
    <w:rsid w:val="00FA427B"/>
    <w:rsid w:val="00FA4501"/>
    <w:rsid w:val="00FA54ED"/>
    <w:rsid w:val="00FA67A9"/>
    <w:rsid w:val="00FA6FD7"/>
    <w:rsid w:val="00FB0F8E"/>
    <w:rsid w:val="00FB18F2"/>
    <w:rsid w:val="00FB1BB3"/>
    <w:rsid w:val="00FB1C8C"/>
    <w:rsid w:val="00FB2A4D"/>
    <w:rsid w:val="00FB36DA"/>
    <w:rsid w:val="00FB40CE"/>
    <w:rsid w:val="00FB785E"/>
    <w:rsid w:val="00FC05F4"/>
    <w:rsid w:val="00FC0B62"/>
    <w:rsid w:val="00FC0C08"/>
    <w:rsid w:val="00FC1378"/>
    <w:rsid w:val="00FC3527"/>
    <w:rsid w:val="00FC5DC3"/>
    <w:rsid w:val="00FC5E2E"/>
    <w:rsid w:val="00FC7246"/>
    <w:rsid w:val="00FD0156"/>
    <w:rsid w:val="00FD0280"/>
    <w:rsid w:val="00FD0575"/>
    <w:rsid w:val="00FD23EA"/>
    <w:rsid w:val="00FD283F"/>
    <w:rsid w:val="00FD3365"/>
    <w:rsid w:val="00FD6C7B"/>
    <w:rsid w:val="00FE0129"/>
    <w:rsid w:val="00FE13B1"/>
    <w:rsid w:val="00FE1FAE"/>
    <w:rsid w:val="00FE4248"/>
    <w:rsid w:val="00FE4A16"/>
    <w:rsid w:val="00FE4C90"/>
    <w:rsid w:val="00FE55CE"/>
    <w:rsid w:val="00FE600B"/>
    <w:rsid w:val="00FE6FB5"/>
    <w:rsid w:val="00FE7291"/>
    <w:rsid w:val="00FE78DE"/>
    <w:rsid w:val="00FF015D"/>
    <w:rsid w:val="00FF460E"/>
    <w:rsid w:val="00FF5C7F"/>
    <w:rsid w:val="00FF67F1"/>
    <w:rsid w:val="024062B1"/>
    <w:rsid w:val="024FE686"/>
    <w:rsid w:val="02CDDABC"/>
    <w:rsid w:val="02FF8D80"/>
    <w:rsid w:val="03CA2318"/>
    <w:rsid w:val="03FC4877"/>
    <w:rsid w:val="04869F1D"/>
    <w:rsid w:val="0AB96E68"/>
    <w:rsid w:val="0C0254C1"/>
    <w:rsid w:val="0E1A1024"/>
    <w:rsid w:val="0ED74D37"/>
    <w:rsid w:val="102F380F"/>
    <w:rsid w:val="1077E5EA"/>
    <w:rsid w:val="11420203"/>
    <w:rsid w:val="13C370BB"/>
    <w:rsid w:val="14211B98"/>
    <w:rsid w:val="14A94AAC"/>
    <w:rsid w:val="14CF2147"/>
    <w:rsid w:val="17B0E646"/>
    <w:rsid w:val="18C0D0C8"/>
    <w:rsid w:val="192D551D"/>
    <w:rsid w:val="197B8AFA"/>
    <w:rsid w:val="1A6FE9F2"/>
    <w:rsid w:val="1B64F2FE"/>
    <w:rsid w:val="1C18F0D4"/>
    <w:rsid w:val="1C4B53F1"/>
    <w:rsid w:val="1D0A0A86"/>
    <w:rsid w:val="1D9E8EC4"/>
    <w:rsid w:val="1E0FEA08"/>
    <w:rsid w:val="1EFCD4D0"/>
    <w:rsid w:val="210FB227"/>
    <w:rsid w:val="21F741B9"/>
    <w:rsid w:val="224F9C2B"/>
    <w:rsid w:val="232C296C"/>
    <w:rsid w:val="236CE861"/>
    <w:rsid w:val="241E412D"/>
    <w:rsid w:val="24BA96C0"/>
    <w:rsid w:val="282593A6"/>
    <w:rsid w:val="28474145"/>
    <w:rsid w:val="293155B9"/>
    <w:rsid w:val="2B2F7EF0"/>
    <w:rsid w:val="2B88175E"/>
    <w:rsid w:val="2B88BE3D"/>
    <w:rsid w:val="2C1455EF"/>
    <w:rsid w:val="2D488BE2"/>
    <w:rsid w:val="2DFC29A6"/>
    <w:rsid w:val="2E27D54E"/>
    <w:rsid w:val="2E5533CB"/>
    <w:rsid w:val="2E62D9D4"/>
    <w:rsid w:val="2F3E5BA3"/>
    <w:rsid w:val="319E82DC"/>
    <w:rsid w:val="31AE2E78"/>
    <w:rsid w:val="325CA1F3"/>
    <w:rsid w:val="333DF3B1"/>
    <w:rsid w:val="341201AA"/>
    <w:rsid w:val="346D0799"/>
    <w:rsid w:val="34B53D16"/>
    <w:rsid w:val="34EAA0F0"/>
    <w:rsid w:val="362808C1"/>
    <w:rsid w:val="364457EA"/>
    <w:rsid w:val="36A28378"/>
    <w:rsid w:val="3797CA21"/>
    <w:rsid w:val="3A8F182C"/>
    <w:rsid w:val="3BBB15BF"/>
    <w:rsid w:val="3C1DA8F2"/>
    <w:rsid w:val="3D298003"/>
    <w:rsid w:val="3E9DF34F"/>
    <w:rsid w:val="3F4AFAE3"/>
    <w:rsid w:val="3F6F96CF"/>
    <w:rsid w:val="43A8755E"/>
    <w:rsid w:val="43BE9105"/>
    <w:rsid w:val="44AFFA2C"/>
    <w:rsid w:val="45152041"/>
    <w:rsid w:val="46A48E41"/>
    <w:rsid w:val="46EE1854"/>
    <w:rsid w:val="471EF200"/>
    <w:rsid w:val="49261AAF"/>
    <w:rsid w:val="4C9E8E71"/>
    <w:rsid w:val="4CABC4A8"/>
    <w:rsid w:val="4E80E639"/>
    <w:rsid w:val="50602C23"/>
    <w:rsid w:val="516EEED9"/>
    <w:rsid w:val="51902B14"/>
    <w:rsid w:val="5293DBB4"/>
    <w:rsid w:val="52B59659"/>
    <w:rsid w:val="533A3245"/>
    <w:rsid w:val="5789CEC7"/>
    <w:rsid w:val="57E7B424"/>
    <w:rsid w:val="57F64ACB"/>
    <w:rsid w:val="58060B6A"/>
    <w:rsid w:val="5813EDDC"/>
    <w:rsid w:val="595B2BAD"/>
    <w:rsid w:val="5BB5CBFF"/>
    <w:rsid w:val="5CEB9D8B"/>
    <w:rsid w:val="5D39B132"/>
    <w:rsid w:val="5D83896E"/>
    <w:rsid w:val="5E368A43"/>
    <w:rsid w:val="5E4E2230"/>
    <w:rsid w:val="5EBBC726"/>
    <w:rsid w:val="5F2EEFAD"/>
    <w:rsid w:val="5FD651CE"/>
    <w:rsid w:val="5FEC013C"/>
    <w:rsid w:val="60A89245"/>
    <w:rsid w:val="61D90D95"/>
    <w:rsid w:val="636C0ED0"/>
    <w:rsid w:val="639084B1"/>
    <w:rsid w:val="64A4F8B3"/>
    <w:rsid w:val="652F8C0B"/>
    <w:rsid w:val="66FC6D98"/>
    <w:rsid w:val="68E3B582"/>
    <w:rsid w:val="698FAD7B"/>
    <w:rsid w:val="69FFD1D9"/>
    <w:rsid w:val="6AB1FD06"/>
    <w:rsid w:val="6B4926A3"/>
    <w:rsid w:val="6B81C141"/>
    <w:rsid w:val="6C0CB9A0"/>
    <w:rsid w:val="6C33C322"/>
    <w:rsid w:val="6F867440"/>
    <w:rsid w:val="6F8BC28A"/>
    <w:rsid w:val="70336437"/>
    <w:rsid w:val="716B944A"/>
    <w:rsid w:val="72ACE148"/>
    <w:rsid w:val="73C23FC3"/>
    <w:rsid w:val="7454042D"/>
    <w:rsid w:val="7462548C"/>
    <w:rsid w:val="757E9EB7"/>
    <w:rsid w:val="761082D8"/>
    <w:rsid w:val="770886E6"/>
    <w:rsid w:val="794F5017"/>
    <w:rsid w:val="7A3F37D3"/>
    <w:rsid w:val="7B475CCE"/>
    <w:rsid w:val="7B506DA6"/>
    <w:rsid w:val="7C48BA49"/>
    <w:rsid w:val="7D0F2A1A"/>
    <w:rsid w:val="7F492E2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04FE8"/>
  <w15:chartTrackingRefBased/>
  <w15:docId w15:val="{86A1DC3F-D97B-4E3A-96E9-20A70D29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071B1"/>
  </w:style>
  <w:style w:type="paragraph" w:styleId="Pealkiri4">
    <w:name w:val="heading 4"/>
    <w:basedOn w:val="Normaallaad"/>
    <w:next w:val="Normaallaad"/>
    <w:link w:val="Pealkiri4Mrk"/>
    <w:uiPriority w:val="9"/>
    <w:semiHidden/>
    <w:unhideWhenUsed/>
    <w:qFormat/>
    <w:rsid w:val="004E77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F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9F6CAE"/>
    <w:pPr>
      <w:tabs>
        <w:tab w:val="center" w:pos="4536"/>
        <w:tab w:val="right" w:pos="9072"/>
      </w:tabs>
      <w:spacing w:after="0" w:line="240" w:lineRule="auto"/>
    </w:pPr>
  </w:style>
  <w:style w:type="character" w:customStyle="1" w:styleId="PisMrk">
    <w:name w:val="Päis Märk"/>
    <w:basedOn w:val="Liguvaikefont"/>
    <w:link w:val="Pis"/>
    <w:uiPriority w:val="99"/>
    <w:rsid w:val="009F6CAE"/>
  </w:style>
  <w:style w:type="paragraph" w:styleId="Jalus">
    <w:name w:val="footer"/>
    <w:basedOn w:val="Normaallaad"/>
    <w:link w:val="JalusMrk"/>
    <w:uiPriority w:val="99"/>
    <w:unhideWhenUsed/>
    <w:rsid w:val="009F6CAE"/>
    <w:pPr>
      <w:tabs>
        <w:tab w:val="center" w:pos="4536"/>
        <w:tab w:val="right" w:pos="9072"/>
      </w:tabs>
      <w:spacing w:after="0" w:line="240" w:lineRule="auto"/>
    </w:pPr>
  </w:style>
  <w:style w:type="character" w:customStyle="1" w:styleId="JalusMrk">
    <w:name w:val="Jalus Märk"/>
    <w:basedOn w:val="Liguvaikefont"/>
    <w:link w:val="Jalus"/>
    <w:uiPriority w:val="99"/>
    <w:rsid w:val="009F6CAE"/>
  </w:style>
  <w:style w:type="paragraph" w:styleId="Loendilik">
    <w:name w:val="List Paragraph"/>
    <w:basedOn w:val="Normaallaad"/>
    <w:uiPriority w:val="34"/>
    <w:qFormat/>
    <w:rsid w:val="009F6CAE"/>
    <w:pPr>
      <w:ind w:left="720"/>
      <w:contextualSpacing/>
    </w:pPr>
  </w:style>
  <w:style w:type="paragraph" w:styleId="Vahedeta">
    <w:name w:val="No Spacing"/>
    <w:basedOn w:val="Normaallaad"/>
    <w:uiPriority w:val="1"/>
    <w:qFormat/>
    <w:rsid w:val="002A2102"/>
    <w:pPr>
      <w:spacing w:after="0" w:line="240" w:lineRule="auto"/>
    </w:pPr>
    <w:rPr>
      <w:rFonts w:ascii="Calibri" w:eastAsia="Times New Roman" w:hAnsi="Calibri" w:cs="Times New Roman"/>
      <w:lang w:eastAsia="et-EE"/>
    </w:rPr>
  </w:style>
  <w:style w:type="character" w:styleId="Kommentaariviide">
    <w:name w:val="annotation reference"/>
    <w:basedOn w:val="Liguvaikefont"/>
    <w:uiPriority w:val="99"/>
    <w:semiHidden/>
    <w:unhideWhenUsed/>
    <w:rsid w:val="002A2102"/>
    <w:rPr>
      <w:sz w:val="16"/>
      <w:szCs w:val="16"/>
    </w:rPr>
  </w:style>
  <w:style w:type="paragraph" w:styleId="Kommentaaritekst">
    <w:name w:val="annotation text"/>
    <w:basedOn w:val="Normaallaad"/>
    <w:link w:val="KommentaaritekstMrk"/>
    <w:uiPriority w:val="99"/>
    <w:unhideWhenUsed/>
    <w:rsid w:val="002A2102"/>
    <w:pPr>
      <w:spacing w:line="240" w:lineRule="auto"/>
    </w:pPr>
    <w:rPr>
      <w:sz w:val="20"/>
      <w:szCs w:val="20"/>
    </w:rPr>
  </w:style>
  <w:style w:type="character" w:customStyle="1" w:styleId="KommentaaritekstMrk">
    <w:name w:val="Kommentaari tekst Märk"/>
    <w:basedOn w:val="Liguvaikefont"/>
    <w:link w:val="Kommentaaritekst"/>
    <w:uiPriority w:val="99"/>
    <w:rsid w:val="002A2102"/>
    <w:rPr>
      <w:sz w:val="20"/>
      <w:szCs w:val="20"/>
    </w:rPr>
  </w:style>
  <w:style w:type="paragraph" w:styleId="Kommentaariteema">
    <w:name w:val="annotation subject"/>
    <w:basedOn w:val="Kommentaaritekst"/>
    <w:next w:val="Kommentaaritekst"/>
    <w:link w:val="KommentaariteemaMrk"/>
    <w:uiPriority w:val="99"/>
    <w:semiHidden/>
    <w:unhideWhenUsed/>
    <w:rsid w:val="002A2102"/>
    <w:rPr>
      <w:b/>
      <w:bCs/>
    </w:rPr>
  </w:style>
  <w:style w:type="character" w:customStyle="1" w:styleId="KommentaariteemaMrk">
    <w:name w:val="Kommentaari teema Märk"/>
    <w:basedOn w:val="KommentaaritekstMrk"/>
    <w:link w:val="Kommentaariteema"/>
    <w:uiPriority w:val="99"/>
    <w:semiHidden/>
    <w:rsid w:val="002A2102"/>
    <w:rPr>
      <w:b/>
      <w:bCs/>
      <w:sz w:val="20"/>
      <w:szCs w:val="20"/>
    </w:rPr>
  </w:style>
  <w:style w:type="paragraph" w:styleId="Jutumullitekst">
    <w:name w:val="Balloon Text"/>
    <w:basedOn w:val="Normaallaad"/>
    <w:link w:val="JutumullitekstMrk"/>
    <w:uiPriority w:val="99"/>
    <w:semiHidden/>
    <w:unhideWhenUsed/>
    <w:rsid w:val="002A210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A2102"/>
    <w:rPr>
      <w:rFonts w:ascii="Segoe UI" w:hAnsi="Segoe UI" w:cs="Segoe UI"/>
      <w:sz w:val="18"/>
      <w:szCs w:val="18"/>
    </w:rPr>
  </w:style>
  <w:style w:type="paragraph" w:customStyle="1" w:styleId="Default">
    <w:name w:val="Default"/>
    <w:rsid w:val="003A78BF"/>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7F40D3"/>
    <w:rPr>
      <w:color w:val="0000FF"/>
      <w:u w:val="single"/>
    </w:rPr>
  </w:style>
  <w:style w:type="paragraph" w:styleId="Allmrkusetekst">
    <w:name w:val="footnote text"/>
    <w:basedOn w:val="Normaallaad"/>
    <w:link w:val="AllmrkusetekstMrk"/>
    <w:uiPriority w:val="99"/>
    <w:semiHidden/>
    <w:unhideWhenUsed/>
    <w:rsid w:val="00916986"/>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916986"/>
    <w:rPr>
      <w:sz w:val="20"/>
      <w:szCs w:val="20"/>
    </w:rPr>
  </w:style>
  <w:style w:type="character" w:styleId="Allmrkuseviide">
    <w:name w:val="footnote reference"/>
    <w:basedOn w:val="Liguvaikefont"/>
    <w:uiPriority w:val="99"/>
    <w:semiHidden/>
    <w:unhideWhenUsed/>
    <w:rsid w:val="00916986"/>
    <w:rPr>
      <w:vertAlign w:val="superscript"/>
    </w:rPr>
  </w:style>
  <w:style w:type="character" w:styleId="Tugev">
    <w:name w:val="Strong"/>
    <w:basedOn w:val="Liguvaikefont"/>
    <w:uiPriority w:val="22"/>
    <w:qFormat/>
    <w:rsid w:val="008B3AA6"/>
    <w:rPr>
      <w:b/>
      <w:bCs/>
    </w:rPr>
  </w:style>
  <w:style w:type="character" w:styleId="Klastatudhperlink">
    <w:name w:val="FollowedHyperlink"/>
    <w:basedOn w:val="Liguvaikefont"/>
    <w:uiPriority w:val="99"/>
    <w:semiHidden/>
    <w:unhideWhenUsed/>
    <w:rsid w:val="00FC05F4"/>
    <w:rPr>
      <w:color w:val="954F72" w:themeColor="followedHyperlink"/>
      <w:u w:val="single"/>
    </w:rPr>
  </w:style>
  <w:style w:type="paragraph" w:customStyle="1" w:styleId="pf0">
    <w:name w:val="pf0"/>
    <w:basedOn w:val="Normaallaad"/>
    <w:rsid w:val="001D124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Liguvaikefont"/>
    <w:rsid w:val="001D1243"/>
    <w:rPr>
      <w:rFonts w:ascii="Segoe UI" w:hAnsi="Segoe UI" w:cs="Segoe UI" w:hint="default"/>
      <w:sz w:val="18"/>
      <w:szCs w:val="18"/>
    </w:rPr>
  </w:style>
  <w:style w:type="paragraph" w:customStyle="1" w:styleId="pf1">
    <w:name w:val="pf1"/>
    <w:basedOn w:val="Normaallaad"/>
    <w:rsid w:val="001D124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pf2">
    <w:name w:val="pf2"/>
    <w:basedOn w:val="Normaallaad"/>
    <w:rsid w:val="001D1243"/>
    <w:pPr>
      <w:spacing w:before="100" w:beforeAutospacing="1" w:after="100" w:afterAutospacing="1" w:line="240" w:lineRule="auto"/>
      <w:ind w:left="720"/>
    </w:pPr>
    <w:rPr>
      <w:rFonts w:ascii="Times New Roman" w:eastAsia="Times New Roman" w:hAnsi="Times New Roman" w:cs="Times New Roman"/>
      <w:sz w:val="24"/>
      <w:szCs w:val="24"/>
      <w:lang w:eastAsia="et-EE"/>
    </w:rPr>
  </w:style>
  <w:style w:type="paragraph" w:customStyle="1" w:styleId="pf3">
    <w:name w:val="pf3"/>
    <w:basedOn w:val="Normaallaad"/>
    <w:rsid w:val="001D1243"/>
    <w:pPr>
      <w:spacing w:before="100" w:beforeAutospacing="1" w:after="100" w:afterAutospacing="1" w:line="240" w:lineRule="auto"/>
      <w:ind w:left="360"/>
    </w:pPr>
    <w:rPr>
      <w:rFonts w:ascii="Times New Roman" w:eastAsia="Times New Roman" w:hAnsi="Times New Roman" w:cs="Times New Roman"/>
      <w:sz w:val="24"/>
      <w:szCs w:val="24"/>
      <w:lang w:eastAsia="et-EE"/>
    </w:rPr>
  </w:style>
  <w:style w:type="character" w:customStyle="1" w:styleId="cf21">
    <w:name w:val="cf21"/>
    <w:basedOn w:val="Liguvaikefont"/>
    <w:rsid w:val="001D1243"/>
    <w:rPr>
      <w:rFonts w:ascii="Segoe UI" w:hAnsi="Segoe UI" w:cs="Segoe UI" w:hint="default"/>
      <w:b/>
      <w:bCs/>
      <w:sz w:val="18"/>
      <w:szCs w:val="18"/>
    </w:rPr>
  </w:style>
  <w:style w:type="character" w:customStyle="1" w:styleId="cf31">
    <w:name w:val="cf31"/>
    <w:basedOn w:val="Liguvaikefont"/>
    <w:rsid w:val="001D1243"/>
    <w:rPr>
      <w:rFonts w:ascii="Segoe UI" w:hAnsi="Segoe UI" w:cs="Segoe UI" w:hint="default"/>
      <w:i/>
      <w:iCs/>
      <w:sz w:val="18"/>
      <w:szCs w:val="18"/>
    </w:rPr>
  </w:style>
  <w:style w:type="character" w:customStyle="1" w:styleId="cf11">
    <w:name w:val="cf11"/>
    <w:basedOn w:val="Liguvaikefont"/>
    <w:rsid w:val="006110AF"/>
    <w:rPr>
      <w:rFonts w:ascii="Segoe UI" w:hAnsi="Segoe UI" w:cs="Segoe UI" w:hint="default"/>
      <w:sz w:val="18"/>
      <w:szCs w:val="18"/>
    </w:rPr>
  </w:style>
  <w:style w:type="character" w:styleId="Lahendamatamainimine">
    <w:name w:val="Unresolved Mention"/>
    <w:basedOn w:val="Liguvaikefont"/>
    <w:uiPriority w:val="99"/>
    <w:semiHidden/>
    <w:unhideWhenUsed/>
    <w:rsid w:val="00A91D86"/>
    <w:rPr>
      <w:color w:val="605E5C"/>
      <w:shd w:val="clear" w:color="auto" w:fill="E1DFDD"/>
    </w:rPr>
  </w:style>
  <w:style w:type="paragraph" w:styleId="Normaallaadveeb">
    <w:name w:val="Normal (Web)"/>
    <w:basedOn w:val="Normaallaad"/>
    <w:uiPriority w:val="99"/>
    <w:semiHidden/>
    <w:unhideWhenUsed/>
    <w:rsid w:val="00BA0324"/>
    <w:rPr>
      <w:rFonts w:ascii="Times New Roman" w:hAnsi="Times New Roman" w:cs="Times New Roman"/>
      <w:sz w:val="24"/>
      <w:szCs w:val="24"/>
    </w:rPr>
  </w:style>
  <w:style w:type="paragraph" w:styleId="Redaktsioon">
    <w:name w:val="Revision"/>
    <w:hidden/>
    <w:uiPriority w:val="99"/>
    <w:semiHidden/>
    <w:rsid w:val="00613992"/>
    <w:pPr>
      <w:spacing w:after="0" w:line="240" w:lineRule="auto"/>
    </w:pPr>
  </w:style>
  <w:style w:type="character" w:customStyle="1" w:styleId="Pealkiri4Mrk">
    <w:name w:val="Pealkiri 4 Märk"/>
    <w:basedOn w:val="Liguvaikefont"/>
    <w:link w:val="Pealkiri4"/>
    <w:uiPriority w:val="9"/>
    <w:semiHidden/>
    <w:rsid w:val="004E776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2173">
      <w:bodyDiv w:val="1"/>
      <w:marLeft w:val="0"/>
      <w:marRight w:val="0"/>
      <w:marTop w:val="0"/>
      <w:marBottom w:val="0"/>
      <w:divBdr>
        <w:top w:val="none" w:sz="0" w:space="0" w:color="auto"/>
        <w:left w:val="none" w:sz="0" w:space="0" w:color="auto"/>
        <w:bottom w:val="none" w:sz="0" w:space="0" w:color="auto"/>
        <w:right w:val="none" w:sz="0" w:space="0" w:color="auto"/>
      </w:divBdr>
    </w:div>
    <w:div w:id="50080938">
      <w:bodyDiv w:val="1"/>
      <w:marLeft w:val="0"/>
      <w:marRight w:val="0"/>
      <w:marTop w:val="0"/>
      <w:marBottom w:val="0"/>
      <w:divBdr>
        <w:top w:val="none" w:sz="0" w:space="0" w:color="auto"/>
        <w:left w:val="none" w:sz="0" w:space="0" w:color="auto"/>
        <w:bottom w:val="none" w:sz="0" w:space="0" w:color="auto"/>
        <w:right w:val="none" w:sz="0" w:space="0" w:color="auto"/>
      </w:divBdr>
    </w:div>
    <w:div w:id="63837462">
      <w:bodyDiv w:val="1"/>
      <w:marLeft w:val="0"/>
      <w:marRight w:val="0"/>
      <w:marTop w:val="0"/>
      <w:marBottom w:val="0"/>
      <w:divBdr>
        <w:top w:val="none" w:sz="0" w:space="0" w:color="auto"/>
        <w:left w:val="none" w:sz="0" w:space="0" w:color="auto"/>
        <w:bottom w:val="none" w:sz="0" w:space="0" w:color="auto"/>
        <w:right w:val="none" w:sz="0" w:space="0" w:color="auto"/>
      </w:divBdr>
    </w:div>
    <w:div w:id="102112471">
      <w:bodyDiv w:val="1"/>
      <w:marLeft w:val="0"/>
      <w:marRight w:val="0"/>
      <w:marTop w:val="0"/>
      <w:marBottom w:val="0"/>
      <w:divBdr>
        <w:top w:val="none" w:sz="0" w:space="0" w:color="auto"/>
        <w:left w:val="none" w:sz="0" w:space="0" w:color="auto"/>
        <w:bottom w:val="none" w:sz="0" w:space="0" w:color="auto"/>
        <w:right w:val="none" w:sz="0" w:space="0" w:color="auto"/>
      </w:divBdr>
    </w:div>
    <w:div w:id="137111244">
      <w:bodyDiv w:val="1"/>
      <w:marLeft w:val="0"/>
      <w:marRight w:val="0"/>
      <w:marTop w:val="0"/>
      <w:marBottom w:val="0"/>
      <w:divBdr>
        <w:top w:val="none" w:sz="0" w:space="0" w:color="auto"/>
        <w:left w:val="none" w:sz="0" w:space="0" w:color="auto"/>
        <w:bottom w:val="none" w:sz="0" w:space="0" w:color="auto"/>
        <w:right w:val="none" w:sz="0" w:space="0" w:color="auto"/>
      </w:divBdr>
    </w:div>
    <w:div w:id="137305352">
      <w:bodyDiv w:val="1"/>
      <w:marLeft w:val="0"/>
      <w:marRight w:val="0"/>
      <w:marTop w:val="0"/>
      <w:marBottom w:val="0"/>
      <w:divBdr>
        <w:top w:val="none" w:sz="0" w:space="0" w:color="auto"/>
        <w:left w:val="none" w:sz="0" w:space="0" w:color="auto"/>
        <w:bottom w:val="none" w:sz="0" w:space="0" w:color="auto"/>
        <w:right w:val="none" w:sz="0" w:space="0" w:color="auto"/>
      </w:divBdr>
    </w:div>
    <w:div w:id="139199811">
      <w:bodyDiv w:val="1"/>
      <w:marLeft w:val="0"/>
      <w:marRight w:val="0"/>
      <w:marTop w:val="0"/>
      <w:marBottom w:val="0"/>
      <w:divBdr>
        <w:top w:val="none" w:sz="0" w:space="0" w:color="auto"/>
        <w:left w:val="none" w:sz="0" w:space="0" w:color="auto"/>
        <w:bottom w:val="none" w:sz="0" w:space="0" w:color="auto"/>
        <w:right w:val="none" w:sz="0" w:space="0" w:color="auto"/>
      </w:divBdr>
    </w:div>
    <w:div w:id="140924315">
      <w:bodyDiv w:val="1"/>
      <w:marLeft w:val="0"/>
      <w:marRight w:val="0"/>
      <w:marTop w:val="0"/>
      <w:marBottom w:val="0"/>
      <w:divBdr>
        <w:top w:val="none" w:sz="0" w:space="0" w:color="auto"/>
        <w:left w:val="none" w:sz="0" w:space="0" w:color="auto"/>
        <w:bottom w:val="none" w:sz="0" w:space="0" w:color="auto"/>
        <w:right w:val="none" w:sz="0" w:space="0" w:color="auto"/>
      </w:divBdr>
    </w:div>
    <w:div w:id="168177619">
      <w:bodyDiv w:val="1"/>
      <w:marLeft w:val="0"/>
      <w:marRight w:val="0"/>
      <w:marTop w:val="0"/>
      <w:marBottom w:val="0"/>
      <w:divBdr>
        <w:top w:val="none" w:sz="0" w:space="0" w:color="auto"/>
        <w:left w:val="none" w:sz="0" w:space="0" w:color="auto"/>
        <w:bottom w:val="none" w:sz="0" w:space="0" w:color="auto"/>
        <w:right w:val="none" w:sz="0" w:space="0" w:color="auto"/>
      </w:divBdr>
    </w:div>
    <w:div w:id="182943688">
      <w:bodyDiv w:val="1"/>
      <w:marLeft w:val="0"/>
      <w:marRight w:val="0"/>
      <w:marTop w:val="0"/>
      <w:marBottom w:val="0"/>
      <w:divBdr>
        <w:top w:val="none" w:sz="0" w:space="0" w:color="auto"/>
        <w:left w:val="none" w:sz="0" w:space="0" w:color="auto"/>
        <w:bottom w:val="none" w:sz="0" w:space="0" w:color="auto"/>
        <w:right w:val="none" w:sz="0" w:space="0" w:color="auto"/>
      </w:divBdr>
    </w:div>
    <w:div w:id="232587702">
      <w:bodyDiv w:val="1"/>
      <w:marLeft w:val="0"/>
      <w:marRight w:val="0"/>
      <w:marTop w:val="0"/>
      <w:marBottom w:val="0"/>
      <w:divBdr>
        <w:top w:val="none" w:sz="0" w:space="0" w:color="auto"/>
        <w:left w:val="none" w:sz="0" w:space="0" w:color="auto"/>
        <w:bottom w:val="none" w:sz="0" w:space="0" w:color="auto"/>
        <w:right w:val="none" w:sz="0" w:space="0" w:color="auto"/>
      </w:divBdr>
    </w:div>
    <w:div w:id="269238981">
      <w:bodyDiv w:val="1"/>
      <w:marLeft w:val="0"/>
      <w:marRight w:val="0"/>
      <w:marTop w:val="0"/>
      <w:marBottom w:val="0"/>
      <w:divBdr>
        <w:top w:val="none" w:sz="0" w:space="0" w:color="auto"/>
        <w:left w:val="none" w:sz="0" w:space="0" w:color="auto"/>
        <w:bottom w:val="none" w:sz="0" w:space="0" w:color="auto"/>
        <w:right w:val="none" w:sz="0" w:space="0" w:color="auto"/>
      </w:divBdr>
    </w:div>
    <w:div w:id="334770809">
      <w:bodyDiv w:val="1"/>
      <w:marLeft w:val="0"/>
      <w:marRight w:val="0"/>
      <w:marTop w:val="0"/>
      <w:marBottom w:val="0"/>
      <w:divBdr>
        <w:top w:val="none" w:sz="0" w:space="0" w:color="auto"/>
        <w:left w:val="none" w:sz="0" w:space="0" w:color="auto"/>
        <w:bottom w:val="none" w:sz="0" w:space="0" w:color="auto"/>
        <w:right w:val="none" w:sz="0" w:space="0" w:color="auto"/>
      </w:divBdr>
    </w:div>
    <w:div w:id="344013872">
      <w:bodyDiv w:val="1"/>
      <w:marLeft w:val="0"/>
      <w:marRight w:val="0"/>
      <w:marTop w:val="0"/>
      <w:marBottom w:val="0"/>
      <w:divBdr>
        <w:top w:val="none" w:sz="0" w:space="0" w:color="auto"/>
        <w:left w:val="none" w:sz="0" w:space="0" w:color="auto"/>
        <w:bottom w:val="none" w:sz="0" w:space="0" w:color="auto"/>
        <w:right w:val="none" w:sz="0" w:space="0" w:color="auto"/>
      </w:divBdr>
    </w:div>
    <w:div w:id="379402478">
      <w:bodyDiv w:val="1"/>
      <w:marLeft w:val="0"/>
      <w:marRight w:val="0"/>
      <w:marTop w:val="0"/>
      <w:marBottom w:val="0"/>
      <w:divBdr>
        <w:top w:val="none" w:sz="0" w:space="0" w:color="auto"/>
        <w:left w:val="none" w:sz="0" w:space="0" w:color="auto"/>
        <w:bottom w:val="none" w:sz="0" w:space="0" w:color="auto"/>
        <w:right w:val="none" w:sz="0" w:space="0" w:color="auto"/>
      </w:divBdr>
    </w:div>
    <w:div w:id="383673936">
      <w:bodyDiv w:val="1"/>
      <w:marLeft w:val="0"/>
      <w:marRight w:val="0"/>
      <w:marTop w:val="0"/>
      <w:marBottom w:val="0"/>
      <w:divBdr>
        <w:top w:val="none" w:sz="0" w:space="0" w:color="auto"/>
        <w:left w:val="none" w:sz="0" w:space="0" w:color="auto"/>
        <w:bottom w:val="none" w:sz="0" w:space="0" w:color="auto"/>
        <w:right w:val="none" w:sz="0" w:space="0" w:color="auto"/>
      </w:divBdr>
    </w:div>
    <w:div w:id="405763673">
      <w:bodyDiv w:val="1"/>
      <w:marLeft w:val="0"/>
      <w:marRight w:val="0"/>
      <w:marTop w:val="0"/>
      <w:marBottom w:val="0"/>
      <w:divBdr>
        <w:top w:val="none" w:sz="0" w:space="0" w:color="auto"/>
        <w:left w:val="none" w:sz="0" w:space="0" w:color="auto"/>
        <w:bottom w:val="none" w:sz="0" w:space="0" w:color="auto"/>
        <w:right w:val="none" w:sz="0" w:space="0" w:color="auto"/>
      </w:divBdr>
    </w:div>
    <w:div w:id="408036510">
      <w:bodyDiv w:val="1"/>
      <w:marLeft w:val="0"/>
      <w:marRight w:val="0"/>
      <w:marTop w:val="0"/>
      <w:marBottom w:val="0"/>
      <w:divBdr>
        <w:top w:val="none" w:sz="0" w:space="0" w:color="auto"/>
        <w:left w:val="none" w:sz="0" w:space="0" w:color="auto"/>
        <w:bottom w:val="none" w:sz="0" w:space="0" w:color="auto"/>
        <w:right w:val="none" w:sz="0" w:space="0" w:color="auto"/>
      </w:divBdr>
    </w:div>
    <w:div w:id="441921872">
      <w:bodyDiv w:val="1"/>
      <w:marLeft w:val="0"/>
      <w:marRight w:val="0"/>
      <w:marTop w:val="0"/>
      <w:marBottom w:val="0"/>
      <w:divBdr>
        <w:top w:val="none" w:sz="0" w:space="0" w:color="auto"/>
        <w:left w:val="none" w:sz="0" w:space="0" w:color="auto"/>
        <w:bottom w:val="none" w:sz="0" w:space="0" w:color="auto"/>
        <w:right w:val="none" w:sz="0" w:space="0" w:color="auto"/>
      </w:divBdr>
    </w:div>
    <w:div w:id="451556383">
      <w:bodyDiv w:val="1"/>
      <w:marLeft w:val="0"/>
      <w:marRight w:val="0"/>
      <w:marTop w:val="0"/>
      <w:marBottom w:val="0"/>
      <w:divBdr>
        <w:top w:val="none" w:sz="0" w:space="0" w:color="auto"/>
        <w:left w:val="none" w:sz="0" w:space="0" w:color="auto"/>
        <w:bottom w:val="none" w:sz="0" w:space="0" w:color="auto"/>
        <w:right w:val="none" w:sz="0" w:space="0" w:color="auto"/>
      </w:divBdr>
    </w:div>
    <w:div w:id="455566772">
      <w:bodyDiv w:val="1"/>
      <w:marLeft w:val="0"/>
      <w:marRight w:val="0"/>
      <w:marTop w:val="0"/>
      <w:marBottom w:val="0"/>
      <w:divBdr>
        <w:top w:val="none" w:sz="0" w:space="0" w:color="auto"/>
        <w:left w:val="none" w:sz="0" w:space="0" w:color="auto"/>
        <w:bottom w:val="none" w:sz="0" w:space="0" w:color="auto"/>
        <w:right w:val="none" w:sz="0" w:space="0" w:color="auto"/>
      </w:divBdr>
    </w:div>
    <w:div w:id="484712160">
      <w:bodyDiv w:val="1"/>
      <w:marLeft w:val="0"/>
      <w:marRight w:val="0"/>
      <w:marTop w:val="0"/>
      <w:marBottom w:val="0"/>
      <w:divBdr>
        <w:top w:val="none" w:sz="0" w:space="0" w:color="auto"/>
        <w:left w:val="none" w:sz="0" w:space="0" w:color="auto"/>
        <w:bottom w:val="none" w:sz="0" w:space="0" w:color="auto"/>
        <w:right w:val="none" w:sz="0" w:space="0" w:color="auto"/>
      </w:divBdr>
    </w:div>
    <w:div w:id="489516301">
      <w:bodyDiv w:val="1"/>
      <w:marLeft w:val="0"/>
      <w:marRight w:val="0"/>
      <w:marTop w:val="0"/>
      <w:marBottom w:val="0"/>
      <w:divBdr>
        <w:top w:val="none" w:sz="0" w:space="0" w:color="auto"/>
        <w:left w:val="none" w:sz="0" w:space="0" w:color="auto"/>
        <w:bottom w:val="none" w:sz="0" w:space="0" w:color="auto"/>
        <w:right w:val="none" w:sz="0" w:space="0" w:color="auto"/>
      </w:divBdr>
    </w:div>
    <w:div w:id="497769253">
      <w:bodyDiv w:val="1"/>
      <w:marLeft w:val="0"/>
      <w:marRight w:val="0"/>
      <w:marTop w:val="0"/>
      <w:marBottom w:val="0"/>
      <w:divBdr>
        <w:top w:val="none" w:sz="0" w:space="0" w:color="auto"/>
        <w:left w:val="none" w:sz="0" w:space="0" w:color="auto"/>
        <w:bottom w:val="none" w:sz="0" w:space="0" w:color="auto"/>
        <w:right w:val="none" w:sz="0" w:space="0" w:color="auto"/>
      </w:divBdr>
    </w:div>
    <w:div w:id="560599352">
      <w:bodyDiv w:val="1"/>
      <w:marLeft w:val="0"/>
      <w:marRight w:val="0"/>
      <w:marTop w:val="0"/>
      <w:marBottom w:val="0"/>
      <w:divBdr>
        <w:top w:val="none" w:sz="0" w:space="0" w:color="auto"/>
        <w:left w:val="none" w:sz="0" w:space="0" w:color="auto"/>
        <w:bottom w:val="none" w:sz="0" w:space="0" w:color="auto"/>
        <w:right w:val="none" w:sz="0" w:space="0" w:color="auto"/>
      </w:divBdr>
    </w:div>
    <w:div w:id="570895862">
      <w:bodyDiv w:val="1"/>
      <w:marLeft w:val="0"/>
      <w:marRight w:val="0"/>
      <w:marTop w:val="0"/>
      <w:marBottom w:val="0"/>
      <w:divBdr>
        <w:top w:val="none" w:sz="0" w:space="0" w:color="auto"/>
        <w:left w:val="none" w:sz="0" w:space="0" w:color="auto"/>
        <w:bottom w:val="none" w:sz="0" w:space="0" w:color="auto"/>
        <w:right w:val="none" w:sz="0" w:space="0" w:color="auto"/>
      </w:divBdr>
    </w:div>
    <w:div w:id="581835307">
      <w:bodyDiv w:val="1"/>
      <w:marLeft w:val="0"/>
      <w:marRight w:val="0"/>
      <w:marTop w:val="0"/>
      <w:marBottom w:val="0"/>
      <w:divBdr>
        <w:top w:val="none" w:sz="0" w:space="0" w:color="auto"/>
        <w:left w:val="none" w:sz="0" w:space="0" w:color="auto"/>
        <w:bottom w:val="none" w:sz="0" w:space="0" w:color="auto"/>
        <w:right w:val="none" w:sz="0" w:space="0" w:color="auto"/>
      </w:divBdr>
    </w:div>
    <w:div w:id="585921979">
      <w:bodyDiv w:val="1"/>
      <w:marLeft w:val="0"/>
      <w:marRight w:val="0"/>
      <w:marTop w:val="0"/>
      <w:marBottom w:val="0"/>
      <w:divBdr>
        <w:top w:val="none" w:sz="0" w:space="0" w:color="auto"/>
        <w:left w:val="none" w:sz="0" w:space="0" w:color="auto"/>
        <w:bottom w:val="none" w:sz="0" w:space="0" w:color="auto"/>
        <w:right w:val="none" w:sz="0" w:space="0" w:color="auto"/>
      </w:divBdr>
    </w:div>
    <w:div w:id="625546416">
      <w:bodyDiv w:val="1"/>
      <w:marLeft w:val="0"/>
      <w:marRight w:val="0"/>
      <w:marTop w:val="0"/>
      <w:marBottom w:val="0"/>
      <w:divBdr>
        <w:top w:val="none" w:sz="0" w:space="0" w:color="auto"/>
        <w:left w:val="none" w:sz="0" w:space="0" w:color="auto"/>
        <w:bottom w:val="none" w:sz="0" w:space="0" w:color="auto"/>
        <w:right w:val="none" w:sz="0" w:space="0" w:color="auto"/>
      </w:divBdr>
    </w:div>
    <w:div w:id="634717525">
      <w:bodyDiv w:val="1"/>
      <w:marLeft w:val="0"/>
      <w:marRight w:val="0"/>
      <w:marTop w:val="0"/>
      <w:marBottom w:val="0"/>
      <w:divBdr>
        <w:top w:val="none" w:sz="0" w:space="0" w:color="auto"/>
        <w:left w:val="none" w:sz="0" w:space="0" w:color="auto"/>
        <w:bottom w:val="none" w:sz="0" w:space="0" w:color="auto"/>
        <w:right w:val="none" w:sz="0" w:space="0" w:color="auto"/>
      </w:divBdr>
    </w:div>
    <w:div w:id="674379652">
      <w:bodyDiv w:val="1"/>
      <w:marLeft w:val="0"/>
      <w:marRight w:val="0"/>
      <w:marTop w:val="0"/>
      <w:marBottom w:val="0"/>
      <w:divBdr>
        <w:top w:val="none" w:sz="0" w:space="0" w:color="auto"/>
        <w:left w:val="none" w:sz="0" w:space="0" w:color="auto"/>
        <w:bottom w:val="none" w:sz="0" w:space="0" w:color="auto"/>
        <w:right w:val="none" w:sz="0" w:space="0" w:color="auto"/>
      </w:divBdr>
    </w:div>
    <w:div w:id="704519501">
      <w:bodyDiv w:val="1"/>
      <w:marLeft w:val="0"/>
      <w:marRight w:val="0"/>
      <w:marTop w:val="0"/>
      <w:marBottom w:val="0"/>
      <w:divBdr>
        <w:top w:val="none" w:sz="0" w:space="0" w:color="auto"/>
        <w:left w:val="none" w:sz="0" w:space="0" w:color="auto"/>
        <w:bottom w:val="none" w:sz="0" w:space="0" w:color="auto"/>
        <w:right w:val="none" w:sz="0" w:space="0" w:color="auto"/>
      </w:divBdr>
    </w:div>
    <w:div w:id="833229820">
      <w:bodyDiv w:val="1"/>
      <w:marLeft w:val="0"/>
      <w:marRight w:val="0"/>
      <w:marTop w:val="0"/>
      <w:marBottom w:val="0"/>
      <w:divBdr>
        <w:top w:val="none" w:sz="0" w:space="0" w:color="auto"/>
        <w:left w:val="none" w:sz="0" w:space="0" w:color="auto"/>
        <w:bottom w:val="none" w:sz="0" w:space="0" w:color="auto"/>
        <w:right w:val="none" w:sz="0" w:space="0" w:color="auto"/>
      </w:divBdr>
    </w:div>
    <w:div w:id="895046493">
      <w:bodyDiv w:val="1"/>
      <w:marLeft w:val="0"/>
      <w:marRight w:val="0"/>
      <w:marTop w:val="0"/>
      <w:marBottom w:val="0"/>
      <w:divBdr>
        <w:top w:val="none" w:sz="0" w:space="0" w:color="auto"/>
        <w:left w:val="none" w:sz="0" w:space="0" w:color="auto"/>
        <w:bottom w:val="none" w:sz="0" w:space="0" w:color="auto"/>
        <w:right w:val="none" w:sz="0" w:space="0" w:color="auto"/>
      </w:divBdr>
    </w:div>
    <w:div w:id="904031366">
      <w:bodyDiv w:val="1"/>
      <w:marLeft w:val="0"/>
      <w:marRight w:val="0"/>
      <w:marTop w:val="0"/>
      <w:marBottom w:val="0"/>
      <w:divBdr>
        <w:top w:val="none" w:sz="0" w:space="0" w:color="auto"/>
        <w:left w:val="none" w:sz="0" w:space="0" w:color="auto"/>
        <w:bottom w:val="none" w:sz="0" w:space="0" w:color="auto"/>
        <w:right w:val="none" w:sz="0" w:space="0" w:color="auto"/>
      </w:divBdr>
    </w:div>
    <w:div w:id="927886776">
      <w:bodyDiv w:val="1"/>
      <w:marLeft w:val="0"/>
      <w:marRight w:val="0"/>
      <w:marTop w:val="0"/>
      <w:marBottom w:val="0"/>
      <w:divBdr>
        <w:top w:val="none" w:sz="0" w:space="0" w:color="auto"/>
        <w:left w:val="none" w:sz="0" w:space="0" w:color="auto"/>
        <w:bottom w:val="none" w:sz="0" w:space="0" w:color="auto"/>
        <w:right w:val="none" w:sz="0" w:space="0" w:color="auto"/>
      </w:divBdr>
    </w:div>
    <w:div w:id="952596071">
      <w:bodyDiv w:val="1"/>
      <w:marLeft w:val="0"/>
      <w:marRight w:val="0"/>
      <w:marTop w:val="0"/>
      <w:marBottom w:val="0"/>
      <w:divBdr>
        <w:top w:val="none" w:sz="0" w:space="0" w:color="auto"/>
        <w:left w:val="none" w:sz="0" w:space="0" w:color="auto"/>
        <w:bottom w:val="none" w:sz="0" w:space="0" w:color="auto"/>
        <w:right w:val="none" w:sz="0" w:space="0" w:color="auto"/>
      </w:divBdr>
    </w:div>
    <w:div w:id="983195613">
      <w:bodyDiv w:val="1"/>
      <w:marLeft w:val="0"/>
      <w:marRight w:val="0"/>
      <w:marTop w:val="0"/>
      <w:marBottom w:val="0"/>
      <w:divBdr>
        <w:top w:val="none" w:sz="0" w:space="0" w:color="auto"/>
        <w:left w:val="none" w:sz="0" w:space="0" w:color="auto"/>
        <w:bottom w:val="none" w:sz="0" w:space="0" w:color="auto"/>
        <w:right w:val="none" w:sz="0" w:space="0" w:color="auto"/>
      </w:divBdr>
    </w:div>
    <w:div w:id="1002246161">
      <w:bodyDiv w:val="1"/>
      <w:marLeft w:val="0"/>
      <w:marRight w:val="0"/>
      <w:marTop w:val="0"/>
      <w:marBottom w:val="0"/>
      <w:divBdr>
        <w:top w:val="none" w:sz="0" w:space="0" w:color="auto"/>
        <w:left w:val="none" w:sz="0" w:space="0" w:color="auto"/>
        <w:bottom w:val="none" w:sz="0" w:space="0" w:color="auto"/>
        <w:right w:val="none" w:sz="0" w:space="0" w:color="auto"/>
      </w:divBdr>
    </w:div>
    <w:div w:id="1017855914">
      <w:bodyDiv w:val="1"/>
      <w:marLeft w:val="0"/>
      <w:marRight w:val="0"/>
      <w:marTop w:val="0"/>
      <w:marBottom w:val="0"/>
      <w:divBdr>
        <w:top w:val="none" w:sz="0" w:space="0" w:color="auto"/>
        <w:left w:val="none" w:sz="0" w:space="0" w:color="auto"/>
        <w:bottom w:val="none" w:sz="0" w:space="0" w:color="auto"/>
        <w:right w:val="none" w:sz="0" w:space="0" w:color="auto"/>
      </w:divBdr>
    </w:div>
    <w:div w:id="1063333932">
      <w:bodyDiv w:val="1"/>
      <w:marLeft w:val="0"/>
      <w:marRight w:val="0"/>
      <w:marTop w:val="0"/>
      <w:marBottom w:val="0"/>
      <w:divBdr>
        <w:top w:val="none" w:sz="0" w:space="0" w:color="auto"/>
        <w:left w:val="none" w:sz="0" w:space="0" w:color="auto"/>
        <w:bottom w:val="none" w:sz="0" w:space="0" w:color="auto"/>
        <w:right w:val="none" w:sz="0" w:space="0" w:color="auto"/>
      </w:divBdr>
    </w:div>
    <w:div w:id="1083723200">
      <w:bodyDiv w:val="1"/>
      <w:marLeft w:val="0"/>
      <w:marRight w:val="0"/>
      <w:marTop w:val="0"/>
      <w:marBottom w:val="0"/>
      <w:divBdr>
        <w:top w:val="none" w:sz="0" w:space="0" w:color="auto"/>
        <w:left w:val="none" w:sz="0" w:space="0" w:color="auto"/>
        <w:bottom w:val="none" w:sz="0" w:space="0" w:color="auto"/>
        <w:right w:val="none" w:sz="0" w:space="0" w:color="auto"/>
      </w:divBdr>
    </w:div>
    <w:div w:id="1092238141">
      <w:bodyDiv w:val="1"/>
      <w:marLeft w:val="0"/>
      <w:marRight w:val="0"/>
      <w:marTop w:val="0"/>
      <w:marBottom w:val="0"/>
      <w:divBdr>
        <w:top w:val="none" w:sz="0" w:space="0" w:color="auto"/>
        <w:left w:val="none" w:sz="0" w:space="0" w:color="auto"/>
        <w:bottom w:val="none" w:sz="0" w:space="0" w:color="auto"/>
        <w:right w:val="none" w:sz="0" w:space="0" w:color="auto"/>
      </w:divBdr>
    </w:div>
    <w:div w:id="1110004693">
      <w:bodyDiv w:val="1"/>
      <w:marLeft w:val="0"/>
      <w:marRight w:val="0"/>
      <w:marTop w:val="0"/>
      <w:marBottom w:val="0"/>
      <w:divBdr>
        <w:top w:val="none" w:sz="0" w:space="0" w:color="auto"/>
        <w:left w:val="none" w:sz="0" w:space="0" w:color="auto"/>
        <w:bottom w:val="none" w:sz="0" w:space="0" w:color="auto"/>
        <w:right w:val="none" w:sz="0" w:space="0" w:color="auto"/>
      </w:divBdr>
    </w:div>
    <w:div w:id="1131441132">
      <w:bodyDiv w:val="1"/>
      <w:marLeft w:val="0"/>
      <w:marRight w:val="0"/>
      <w:marTop w:val="0"/>
      <w:marBottom w:val="0"/>
      <w:divBdr>
        <w:top w:val="none" w:sz="0" w:space="0" w:color="auto"/>
        <w:left w:val="none" w:sz="0" w:space="0" w:color="auto"/>
        <w:bottom w:val="none" w:sz="0" w:space="0" w:color="auto"/>
        <w:right w:val="none" w:sz="0" w:space="0" w:color="auto"/>
      </w:divBdr>
    </w:div>
    <w:div w:id="1253127239">
      <w:bodyDiv w:val="1"/>
      <w:marLeft w:val="0"/>
      <w:marRight w:val="0"/>
      <w:marTop w:val="0"/>
      <w:marBottom w:val="0"/>
      <w:divBdr>
        <w:top w:val="none" w:sz="0" w:space="0" w:color="auto"/>
        <w:left w:val="none" w:sz="0" w:space="0" w:color="auto"/>
        <w:bottom w:val="none" w:sz="0" w:space="0" w:color="auto"/>
        <w:right w:val="none" w:sz="0" w:space="0" w:color="auto"/>
      </w:divBdr>
    </w:div>
    <w:div w:id="1255241866">
      <w:bodyDiv w:val="1"/>
      <w:marLeft w:val="0"/>
      <w:marRight w:val="0"/>
      <w:marTop w:val="0"/>
      <w:marBottom w:val="0"/>
      <w:divBdr>
        <w:top w:val="none" w:sz="0" w:space="0" w:color="auto"/>
        <w:left w:val="none" w:sz="0" w:space="0" w:color="auto"/>
        <w:bottom w:val="none" w:sz="0" w:space="0" w:color="auto"/>
        <w:right w:val="none" w:sz="0" w:space="0" w:color="auto"/>
      </w:divBdr>
    </w:div>
    <w:div w:id="1271819937">
      <w:bodyDiv w:val="1"/>
      <w:marLeft w:val="0"/>
      <w:marRight w:val="0"/>
      <w:marTop w:val="0"/>
      <w:marBottom w:val="0"/>
      <w:divBdr>
        <w:top w:val="none" w:sz="0" w:space="0" w:color="auto"/>
        <w:left w:val="none" w:sz="0" w:space="0" w:color="auto"/>
        <w:bottom w:val="none" w:sz="0" w:space="0" w:color="auto"/>
        <w:right w:val="none" w:sz="0" w:space="0" w:color="auto"/>
      </w:divBdr>
    </w:div>
    <w:div w:id="1274510589">
      <w:bodyDiv w:val="1"/>
      <w:marLeft w:val="0"/>
      <w:marRight w:val="0"/>
      <w:marTop w:val="0"/>
      <w:marBottom w:val="0"/>
      <w:divBdr>
        <w:top w:val="none" w:sz="0" w:space="0" w:color="auto"/>
        <w:left w:val="none" w:sz="0" w:space="0" w:color="auto"/>
        <w:bottom w:val="none" w:sz="0" w:space="0" w:color="auto"/>
        <w:right w:val="none" w:sz="0" w:space="0" w:color="auto"/>
      </w:divBdr>
    </w:div>
    <w:div w:id="1286697231">
      <w:bodyDiv w:val="1"/>
      <w:marLeft w:val="0"/>
      <w:marRight w:val="0"/>
      <w:marTop w:val="0"/>
      <w:marBottom w:val="0"/>
      <w:divBdr>
        <w:top w:val="none" w:sz="0" w:space="0" w:color="auto"/>
        <w:left w:val="none" w:sz="0" w:space="0" w:color="auto"/>
        <w:bottom w:val="none" w:sz="0" w:space="0" w:color="auto"/>
        <w:right w:val="none" w:sz="0" w:space="0" w:color="auto"/>
      </w:divBdr>
    </w:div>
    <w:div w:id="1300066952">
      <w:bodyDiv w:val="1"/>
      <w:marLeft w:val="0"/>
      <w:marRight w:val="0"/>
      <w:marTop w:val="0"/>
      <w:marBottom w:val="0"/>
      <w:divBdr>
        <w:top w:val="none" w:sz="0" w:space="0" w:color="auto"/>
        <w:left w:val="none" w:sz="0" w:space="0" w:color="auto"/>
        <w:bottom w:val="none" w:sz="0" w:space="0" w:color="auto"/>
        <w:right w:val="none" w:sz="0" w:space="0" w:color="auto"/>
      </w:divBdr>
    </w:div>
    <w:div w:id="1338657426">
      <w:bodyDiv w:val="1"/>
      <w:marLeft w:val="0"/>
      <w:marRight w:val="0"/>
      <w:marTop w:val="0"/>
      <w:marBottom w:val="0"/>
      <w:divBdr>
        <w:top w:val="none" w:sz="0" w:space="0" w:color="auto"/>
        <w:left w:val="none" w:sz="0" w:space="0" w:color="auto"/>
        <w:bottom w:val="none" w:sz="0" w:space="0" w:color="auto"/>
        <w:right w:val="none" w:sz="0" w:space="0" w:color="auto"/>
      </w:divBdr>
    </w:div>
    <w:div w:id="1428036170">
      <w:bodyDiv w:val="1"/>
      <w:marLeft w:val="0"/>
      <w:marRight w:val="0"/>
      <w:marTop w:val="0"/>
      <w:marBottom w:val="0"/>
      <w:divBdr>
        <w:top w:val="none" w:sz="0" w:space="0" w:color="auto"/>
        <w:left w:val="none" w:sz="0" w:space="0" w:color="auto"/>
        <w:bottom w:val="none" w:sz="0" w:space="0" w:color="auto"/>
        <w:right w:val="none" w:sz="0" w:space="0" w:color="auto"/>
      </w:divBdr>
    </w:div>
    <w:div w:id="1458332237">
      <w:bodyDiv w:val="1"/>
      <w:marLeft w:val="0"/>
      <w:marRight w:val="0"/>
      <w:marTop w:val="0"/>
      <w:marBottom w:val="0"/>
      <w:divBdr>
        <w:top w:val="none" w:sz="0" w:space="0" w:color="auto"/>
        <w:left w:val="none" w:sz="0" w:space="0" w:color="auto"/>
        <w:bottom w:val="none" w:sz="0" w:space="0" w:color="auto"/>
        <w:right w:val="none" w:sz="0" w:space="0" w:color="auto"/>
      </w:divBdr>
    </w:div>
    <w:div w:id="1468547840">
      <w:bodyDiv w:val="1"/>
      <w:marLeft w:val="0"/>
      <w:marRight w:val="0"/>
      <w:marTop w:val="0"/>
      <w:marBottom w:val="0"/>
      <w:divBdr>
        <w:top w:val="none" w:sz="0" w:space="0" w:color="auto"/>
        <w:left w:val="none" w:sz="0" w:space="0" w:color="auto"/>
        <w:bottom w:val="none" w:sz="0" w:space="0" w:color="auto"/>
        <w:right w:val="none" w:sz="0" w:space="0" w:color="auto"/>
      </w:divBdr>
    </w:div>
    <w:div w:id="1471823151">
      <w:bodyDiv w:val="1"/>
      <w:marLeft w:val="0"/>
      <w:marRight w:val="0"/>
      <w:marTop w:val="0"/>
      <w:marBottom w:val="0"/>
      <w:divBdr>
        <w:top w:val="none" w:sz="0" w:space="0" w:color="auto"/>
        <w:left w:val="none" w:sz="0" w:space="0" w:color="auto"/>
        <w:bottom w:val="none" w:sz="0" w:space="0" w:color="auto"/>
        <w:right w:val="none" w:sz="0" w:space="0" w:color="auto"/>
      </w:divBdr>
    </w:div>
    <w:div w:id="1514874900">
      <w:bodyDiv w:val="1"/>
      <w:marLeft w:val="0"/>
      <w:marRight w:val="0"/>
      <w:marTop w:val="0"/>
      <w:marBottom w:val="0"/>
      <w:divBdr>
        <w:top w:val="none" w:sz="0" w:space="0" w:color="auto"/>
        <w:left w:val="none" w:sz="0" w:space="0" w:color="auto"/>
        <w:bottom w:val="none" w:sz="0" w:space="0" w:color="auto"/>
        <w:right w:val="none" w:sz="0" w:space="0" w:color="auto"/>
      </w:divBdr>
    </w:div>
    <w:div w:id="1541743479">
      <w:bodyDiv w:val="1"/>
      <w:marLeft w:val="0"/>
      <w:marRight w:val="0"/>
      <w:marTop w:val="0"/>
      <w:marBottom w:val="0"/>
      <w:divBdr>
        <w:top w:val="none" w:sz="0" w:space="0" w:color="auto"/>
        <w:left w:val="none" w:sz="0" w:space="0" w:color="auto"/>
        <w:bottom w:val="none" w:sz="0" w:space="0" w:color="auto"/>
        <w:right w:val="none" w:sz="0" w:space="0" w:color="auto"/>
      </w:divBdr>
    </w:div>
    <w:div w:id="1579628040">
      <w:bodyDiv w:val="1"/>
      <w:marLeft w:val="0"/>
      <w:marRight w:val="0"/>
      <w:marTop w:val="0"/>
      <w:marBottom w:val="0"/>
      <w:divBdr>
        <w:top w:val="none" w:sz="0" w:space="0" w:color="auto"/>
        <w:left w:val="none" w:sz="0" w:space="0" w:color="auto"/>
        <w:bottom w:val="none" w:sz="0" w:space="0" w:color="auto"/>
        <w:right w:val="none" w:sz="0" w:space="0" w:color="auto"/>
      </w:divBdr>
    </w:div>
    <w:div w:id="1620524642">
      <w:bodyDiv w:val="1"/>
      <w:marLeft w:val="0"/>
      <w:marRight w:val="0"/>
      <w:marTop w:val="0"/>
      <w:marBottom w:val="0"/>
      <w:divBdr>
        <w:top w:val="none" w:sz="0" w:space="0" w:color="auto"/>
        <w:left w:val="none" w:sz="0" w:space="0" w:color="auto"/>
        <w:bottom w:val="none" w:sz="0" w:space="0" w:color="auto"/>
        <w:right w:val="none" w:sz="0" w:space="0" w:color="auto"/>
      </w:divBdr>
    </w:div>
    <w:div w:id="1635718512">
      <w:bodyDiv w:val="1"/>
      <w:marLeft w:val="0"/>
      <w:marRight w:val="0"/>
      <w:marTop w:val="0"/>
      <w:marBottom w:val="0"/>
      <w:divBdr>
        <w:top w:val="none" w:sz="0" w:space="0" w:color="auto"/>
        <w:left w:val="none" w:sz="0" w:space="0" w:color="auto"/>
        <w:bottom w:val="none" w:sz="0" w:space="0" w:color="auto"/>
        <w:right w:val="none" w:sz="0" w:space="0" w:color="auto"/>
      </w:divBdr>
    </w:div>
    <w:div w:id="1702511785">
      <w:bodyDiv w:val="1"/>
      <w:marLeft w:val="0"/>
      <w:marRight w:val="0"/>
      <w:marTop w:val="0"/>
      <w:marBottom w:val="0"/>
      <w:divBdr>
        <w:top w:val="none" w:sz="0" w:space="0" w:color="auto"/>
        <w:left w:val="none" w:sz="0" w:space="0" w:color="auto"/>
        <w:bottom w:val="none" w:sz="0" w:space="0" w:color="auto"/>
        <w:right w:val="none" w:sz="0" w:space="0" w:color="auto"/>
      </w:divBdr>
    </w:div>
    <w:div w:id="1713530768">
      <w:bodyDiv w:val="1"/>
      <w:marLeft w:val="0"/>
      <w:marRight w:val="0"/>
      <w:marTop w:val="0"/>
      <w:marBottom w:val="0"/>
      <w:divBdr>
        <w:top w:val="none" w:sz="0" w:space="0" w:color="auto"/>
        <w:left w:val="none" w:sz="0" w:space="0" w:color="auto"/>
        <w:bottom w:val="none" w:sz="0" w:space="0" w:color="auto"/>
        <w:right w:val="none" w:sz="0" w:space="0" w:color="auto"/>
      </w:divBdr>
    </w:div>
    <w:div w:id="1724478123">
      <w:bodyDiv w:val="1"/>
      <w:marLeft w:val="0"/>
      <w:marRight w:val="0"/>
      <w:marTop w:val="0"/>
      <w:marBottom w:val="0"/>
      <w:divBdr>
        <w:top w:val="none" w:sz="0" w:space="0" w:color="auto"/>
        <w:left w:val="none" w:sz="0" w:space="0" w:color="auto"/>
        <w:bottom w:val="none" w:sz="0" w:space="0" w:color="auto"/>
        <w:right w:val="none" w:sz="0" w:space="0" w:color="auto"/>
      </w:divBdr>
    </w:div>
    <w:div w:id="1751661827">
      <w:bodyDiv w:val="1"/>
      <w:marLeft w:val="0"/>
      <w:marRight w:val="0"/>
      <w:marTop w:val="0"/>
      <w:marBottom w:val="0"/>
      <w:divBdr>
        <w:top w:val="none" w:sz="0" w:space="0" w:color="auto"/>
        <w:left w:val="none" w:sz="0" w:space="0" w:color="auto"/>
        <w:bottom w:val="none" w:sz="0" w:space="0" w:color="auto"/>
        <w:right w:val="none" w:sz="0" w:space="0" w:color="auto"/>
      </w:divBdr>
    </w:div>
    <w:div w:id="1802115492">
      <w:bodyDiv w:val="1"/>
      <w:marLeft w:val="0"/>
      <w:marRight w:val="0"/>
      <w:marTop w:val="0"/>
      <w:marBottom w:val="0"/>
      <w:divBdr>
        <w:top w:val="none" w:sz="0" w:space="0" w:color="auto"/>
        <w:left w:val="none" w:sz="0" w:space="0" w:color="auto"/>
        <w:bottom w:val="none" w:sz="0" w:space="0" w:color="auto"/>
        <w:right w:val="none" w:sz="0" w:space="0" w:color="auto"/>
      </w:divBdr>
    </w:div>
    <w:div w:id="1818648388">
      <w:bodyDiv w:val="1"/>
      <w:marLeft w:val="0"/>
      <w:marRight w:val="0"/>
      <w:marTop w:val="0"/>
      <w:marBottom w:val="0"/>
      <w:divBdr>
        <w:top w:val="none" w:sz="0" w:space="0" w:color="auto"/>
        <w:left w:val="none" w:sz="0" w:space="0" w:color="auto"/>
        <w:bottom w:val="none" w:sz="0" w:space="0" w:color="auto"/>
        <w:right w:val="none" w:sz="0" w:space="0" w:color="auto"/>
      </w:divBdr>
    </w:div>
    <w:div w:id="1832214821">
      <w:bodyDiv w:val="1"/>
      <w:marLeft w:val="0"/>
      <w:marRight w:val="0"/>
      <w:marTop w:val="0"/>
      <w:marBottom w:val="0"/>
      <w:divBdr>
        <w:top w:val="none" w:sz="0" w:space="0" w:color="auto"/>
        <w:left w:val="none" w:sz="0" w:space="0" w:color="auto"/>
        <w:bottom w:val="none" w:sz="0" w:space="0" w:color="auto"/>
        <w:right w:val="none" w:sz="0" w:space="0" w:color="auto"/>
      </w:divBdr>
    </w:div>
    <w:div w:id="1859198705">
      <w:bodyDiv w:val="1"/>
      <w:marLeft w:val="0"/>
      <w:marRight w:val="0"/>
      <w:marTop w:val="0"/>
      <w:marBottom w:val="0"/>
      <w:divBdr>
        <w:top w:val="none" w:sz="0" w:space="0" w:color="auto"/>
        <w:left w:val="none" w:sz="0" w:space="0" w:color="auto"/>
        <w:bottom w:val="none" w:sz="0" w:space="0" w:color="auto"/>
        <w:right w:val="none" w:sz="0" w:space="0" w:color="auto"/>
      </w:divBdr>
    </w:div>
    <w:div w:id="1879312037">
      <w:bodyDiv w:val="1"/>
      <w:marLeft w:val="0"/>
      <w:marRight w:val="0"/>
      <w:marTop w:val="0"/>
      <w:marBottom w:val="0"/>
      <w:divBdr>
        <w:top w:val="none" w:sz="0" w:space="0" w:color="auto"/>
        <w:left w:val="none" w:sz="0" w:space="0" w:color="auto"/>
        <w:bottom w:val="none" w:sz="0" w:space="0" w:color="auto"/>
        <w:right w:val="none" w:sz="0" w:space="0" w:color="auto"/>
      </w:divBdr>
    </w:div>
    <w:div w:id="1880973909">
      <w:bodyDiv w:val="1"/>
      <w:marLeft w:val="0"/>
      <w:marRight w:val="0"/>
      <w:marTop w:val="0"/>
      <w:marBottom w:val="0"/>
      <w:divBdr>
        <w:top w:val="none" w:sz="0" w:space="0" w:color="auto"/>
        <w:left w:val="none" w:sz="0" w:space="0" w:color="auto"/>
        <w:bottom w:val="none" w:sz="0" w:space="0" w:color="auto"/>
        <w:right w:val="none" w:sz="0" w:space="0" w:color="auto"/>
      </w:divBdr>
    </w:div>
    <w:div w:id="1920165121">
      <w:bodyDiv w:val="1"/>
      <w:marLeft w:val="0"/>
      <w:marRight w:val="0"/>
      <w:marTop w:val="0"/>
      <w:marBottom w:val="0"/>
      <w:divBdr>
        <w:top w:val="none" w:sz="0" w:space="0" w:color="auto"/>
        <w:left w:val="none" w:sz="0" w:space="0" w:color="auto"/>
        <w:bottom w:val="none" w:sz="0" w:space="0" w:color="auto"/>
        <w:right w:val="none" w:sz="0" w:space="0" w:color="auto"/>
      </w:divBdr>
    </w:div>
    <w:div w:id="1925721332">
      <w:bodyDiv w:val="1"/>
      <w:marLeft w:val="0"/>
      <w:marRight w:val="0"/>
      <w:marTop w:val="0"/>
      <w:marBottom w:val="0"/>
      <w:divBdr>
        <w:top w:val="none" w:sz="0" w:space="0" w:color="auto"/>
        <w:left w:val="none" w:sz="0" w:space="0" w:color="auto"/>
        <w:bottom w:val="none" w:sz="0" w:space="0" w:color="auto"/>
        <w:right w:val="none" w:sz="0" w:space="0" w:color="auto"/>
      </w:divBdr>
    </w:div>
    <w:div w:id="1959676847">
      <w:bodyDiv w:val="1"/>
      <w:marLeft w:val="0"/>
      <w:marRight w:val="0"/>
      <w:marTop w:val="0"/>
      <w:marBottom w:val="0"/>
      <w:divBdr>
        <w:top w:val="none" w:sz="0" w:space="0" w:color="auto"/>
        <w:left w:val="none" w:sz="0" w:space="0" w:color="auto"/>
        <w:bottom w:val="none" w:sz="0" w:space="0" w:color="auto"/>
        <w:right w:val="none" w:sz="0" w:space="0" w:color="auto"/>
      </w:divBdr>
    </w:div>
    <w:div w:id="1967001180">
      <w:bodyDiv w:val="1"/>
      <w:marLeft w:val="0"/>
      <w:marRight w:val="0"/>
      <w:marTop w:val="0"/>
      <w:marBottom w:val="0"/>
      <w:divBdr>
        <w:top w:val="none" w:sz="0" w:space="0" w:color="auto"/>
        <w:left w:val="none" w:sz="0" w:space="0" w:color="auto"/>
        <w:bottom w:val="none" w:sz="0" w:space="0" w:color="auto"/>
        <w:right w:val="none" w:sz="0" w:space="0" w:color="auto"/>
      </w:divBdr>
    </w:div>
    <w:div w:id="1999072416">
      <w:bodyDiv w:val="1"/>
      <w:marLeft w:val="0"/>
      <w:marRight w:val="0"/>
      <w:marTop w:val="0"/>
      <w:marBottom w:val="0"/>
      <w:divBdr>
        <w:top w:val="none" w:sz="0" w:space="0" w:color="auto"/>
        <w:left w:val="none" w:sz="0" w:space="0" w:color="auto"/>
        <w:bottom w:val="none" w:sz="0" w:space="0" w:color="auto"/>
        <w:right w:val="none" w:sz="0" w:space="0" w:color="auto"/>
      </w:divBdr>
    </w:div>
    <w:div w:id="2064254375">
      <w:bodyDiv w:val="1"/>
      <w:marLeft w:val="0"/>
      <w:marRight w:val="0"/>
      <w:marTop w:val="0"/>
      <w:marBottom w:val="0"/>
      <w:divBdr>
        <w:top w:val="none" w:sz="0" w:space="0" w:color="auto"/>
        <w:left w:val="none" w:sz="0" w:space="0" w:color="auto"/>
        <w:bottom w:val="none" w:sz="0" w:space="0" w:color="auto"/>
        <w:right w:val="none" w:sz="0" w:space="0" w:color="auto"/>
      </w:divBdr>
    </w:div>
    <w:div w:id="2104104370">
      <w:bodyDiv w:val="1"/>
      <w:marLeft w:val="0"/>
      <w:marRight w:val="0"/>
      <w:marTop w:val="0"/>
      <w:marBottom w:val="0"/>
      <w:divBdr>
        <w:top w:val="none" w:sz="0" w:space="0" w:color="auto"/>
        <w:left w:val="none" w:sz="0" w:space="0" w:color="auto"/>
        <w:bottom w:val="none" w:sz="0" w:space="0" w:color="auto"/>
        <w:right w:val="none" w:sz="0" w:space="0" w:color="auto"/>
      </w:divBdr>
    </w:div>
    <w:div w:id="2144274775">
      <w:bodyDiv w:val="1"/>
      <w:marLeft w:val="0"/>
      <w:marRight w:val="0"/>
      <w:marTop w:val="0"/>
      <w:marBottom w:val="0"/>
      <w:divBdr>
        <w:top w:val="none" w:sz="0" w:space="0" w:color="auto"/>
        <w:left w:val="none" w:sz="0" w:space="0" w:color="auto"/>
        <w:bottom w:val="none" w:sz="0" w:space="0" w:color="auto"/>
        <w:right w:val="none" w:sz="0" w:space="0" w:color="auto"/>
      </w:divBdr>
    </w:div>
    <w:div w:id="214515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mc.ncbi.nlm.nih.gov/articles/PMC440103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2205202500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472B3F6C402443B4D78C39F8D54B3D" ma:contentTypeVersion="13" ma:contentTypeDescription="Create a new document." ma:contentTypeScope="" ma:versionID="a321d388432d4e1c0f3c22448367ec8a">
  <xsd:schema xmlns:xsd="http://www.w3.org/2001/XMLSchema" xmlns:xs="http://www.w3.org/2001/XMLSchema" xmlns:p="http://schemas.microsoft.com/office/2006/metadata/properties" xmlns:ns2="17076dea-e25b-4474-8f7c-aa2ee5cd0ad6" xmlns:ns3="08adef74-251f-42fc-9024-6df5c4e3f36b" targetNamespace="http://schemas.microsoft.com/office/2006/metadata/properties" ma:root="true" ma:fieldsID="9d7ee86558d7221253657acbc7cfe5e8" ns2:_="" ns3:_="">
    <xsd:import namespace="17076dea-e25b-4474-8f7c-aa2ee5cd0ad6"/>
    <xsd:import namespace="08adef74-251f-42fc-9024-6df5c4e3f3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76dea-e25b-4474-8f7c-aa2ee5cd0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adef74-251f-42fc-9024-6df5c4e3f3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d2d6d2-f65b-4c89-ab29-d96283ed764a}" ma:internalName="TaxCatchAll" ma:showField="CatchAllData" ma:web="08adef74-251f-42fc-9024-6df5c4e3f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076dea-e25b-4474-8f7c-aa2ee5cd0ad6">
      <Terms xmlns="http://schemas.microsoft.com/office/infopath/2007/PartnerControls"/>
    </lcf76f155ced4ddcb4097134ff3c332f>
    <TaxCatchAll xmlns="08adef74-251f-42fc-9024-6df5c4e3f36b" xsi:nil="true"/>
  </documentManagement>
</p:properties>
</file>

<file path=customXml/itemProps1.xml><?xml version="1.0" encoding="utf-8"?>
<ds:datastoreItem xmlns:ds="http://schemas.openxmlformats.org/officeDocument/2006/customXml" ds:itemID="{330DBB90-0629-4DD3-912D-A3FFC9BB2839}">
  <ds:schemaRefs>
    <ds:schemaRef ds:uri="http://schemas.openxmlformats.org/officeDocument/2006/bibliography"/>
  </ds:schemaRefs>
</ds:datastoreItem>
</file>

<file path=customXml/itemProps2.xml><?xml version="1.0" encoding="utf-8"?>
<ds:datastoreItem xmlns:ds="http://schemas.openxmlformats.org/officeDocument/2006/customXml" ds:itemID="{FC5888BF-F89C-44E3-BE4E-F073E7EEA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76dea-e25b-4474-8f7c-aa2ee5cd0ad6"/>
    <ds:schemaRef ds:uri="08adef74-251f-42fc-9024-6df5c4e3f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F8E56-1AA0-46F1-A7D8-3F7FD7A11010}">
  <ds:schemaRefs>
    <ds:schemaRef ds:uri="http://schemas.microsoft.com/sharepoint/v3/contenttype/forms"/>
  </ds:schemaRefs>
</ds:datastoreItem>
</file>

<file path=customXml/itemProps4.xml><?xml version="1.0" encoding="utf-8"?>
<ds:datastoreItem xmlns:ds="http://schemas.openxmlformats.org/officeDocument/2006/customXml" ds:itemID="{4061563D-485D-473F-A12D-689004B71A3D}">
  <ds:schemaRefs>
    <ds:schemaRef ds:uri="http://schemas.microsoft.com/office/2006/metadata/properties"/>
    <ds:schemaRef ds:uri="http://schemas.microsoft.com/office/infopath/2007/PartnerControls"/>
    <ds:schemaRef ds:uri="17076dea-e25b-4474-8f7c-aa2ee5cd0ad6"/>
    <ds:schemaRef ds:uri="08adef74-251f-42fc-9024-6df5c4e3f3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5468</Words>
  <Characters>31718</Characters>
  <Application>Microsoft Office Word</Application>
  <DocSecurity>0</DocSecurity>
  <Lines>264</Lines>
  <Paragraphs>74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Riisalo</dc:creator>
  <cp:keywords/>
  <dc:description/>
  <cp:lastModifiedBy>Ramon Nahkur - SOM</cp:lastModifiedBy>
  <cp:revision>2</cp:revision>
  <dcterms:created xsi:type="dcterms:W3CDTF">2025-08-28T07:29:00Z</dcterms:created>
  <dcterms:modified xsi:type="dcterms:W3CDTF">2025-08-28T07:29:00Z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efa4170-0d19-0005-0004-bc88714345d2_Enabled">
    <vt:lpwstr>true</vt:lpwstr>
  </property>
  <property fmtid="{D5CDD505-2E9C-101B-9397-08002B2CF9AE}" pid="4" name="MSIP_Label_defa4170-0d19-0005-0004-bc88714345d2_SetDate">
    <vt:lpwstr>2025-01-06T09:24:16Z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85e7eb3d-750f-4dc7-b0bc-ab3c34e24246</vt:lpwstr>
  </property>
  <property fmtid="{D5CDD505-2E9C-101B-9397-08002B2CF9AE}" pid="9" name="MSIP_Label_defa4170-0d19-0005-0004-bc88714345d2_ContentBits">
    <vt:lpwstr>0</vt:lpwstr>
  </property>
  <property fmtid="{D5CDD505-2E9C-101B-9397-08002B2CF9AE}" pid="10" name="ContentTypeId">
    <vt:lpwstr>0x0101009B472B3F6C402443B4D78C39F8D54B3D</vt:lpwstr>
  </property>
  <property fmtid="{D5CDD505-2E9C-101B-9397-08002B2CF9AE}" pid="11" name="MediaServiceImageTags">
    <vt:lpwstr/>
  </property>
</Properties>
</file>